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72BC" w14:textId="77777777" w:rsidR="001D7128" w:rsidRPr="007514A7" w:rsidRDefault="001D7128">
      <w:pPr>
        <w:spacing w:before="2" w:after="0" w:line="160" w:lineRule="exact"/>
        <w:rPr>
          <w:sz w:val="16"/>
          <w:szCs w:val="16"/>
          <w:lang w:val="hr-HR"/>
        </w:rPr>
      </w:pPr>
    </w:p>
    <w:tbl>
      <w:tblPr>
        <w:tblW w:w="9569" w:type="dxa"/>
        <w:tblInd w:w="115" w:type="dxa"/>
        <w:tblLayout w:type="fixed"/>
        <w:tblCellMar>
          <w:left w:w="0" w:type="dxa"/>
          <w:right w:w="0" w:type="dxa"/>
        </w:tblCellMar>
        <w:tblLook w:val="01E0" w:firstRow="1" w:lastRow="1" w:firstColumn="1" w:lastColumn="1" w:noHBand="0" w:noVBand="0"/>
      </w:tblPr>
      <w:tblGrid>
        <w:gridCol w:w="3827"/>
        <w:gridCol w:w="1812"/>
        <w:gridCol w:w="3930"/>
      </w:tblGrid>
      <w:tr w:rsidR="001D7128" w:rsidRPr="007514A7" w14:paraId="27577F0E" w14:textId="77777777" w:rsidTr="00453E6A">
        <w:trPr>
          <w:trHeight w:hRule="exact" w:val="1274"/>
        </w:trPr>
        <w:tc>
          <w:tcPr>
            <w:tcW w:w="9569" w:type="dxa"/>
            <w:gridSpan w:val="3"/>
            <w:tcBorders>
              <w:top w:val="single" w:sz="4" w:space="0" w:color="8177B7"/>
              <w:left w:val="single" w:sz="4" w:space="0" w:color="8177B7"/>
              <w:bottom w:val="single" w:sz="4" w:space="0" w:color="8177B7"/>
              <w:right w:val="single" w:sz="4" w:space="0" w:color="8177B7"/>
            </w:tcBorders>
            <w:shd w:val="clear" w:color="auto" w:fill="8177B7"/>
          </w:tcPr>
          <w:p w14:paraId="7B4F7634" w14:textId="77777777" w:rsidR="001D7128" w:rsidRPr="007514A7" w:rsidRDefault="00B13212" w:rsidP="00341285">
            <w:pPr>
              <w:spacing w:after="0" w:line="240" w:lineRule="auto"/>
              <w:ind w:left="4152" w:right="4132"/>
              <w:jc w:val="center"/>
              <w:rPr>
                <w:rFonts w:eastAsia="Myriad Pro" w:cs="Myriad Pro"/>
                <w:lang w:val="hr-HR"/>
              </w:rPr>
            </w:pPr>
            <w:r w:rsidRPr="007514A7">
              <w:rPr>
                <w:rFonts w:eastAsia="Myriad Pro" w:cs="Myriad Pro"/>
                <w:b/>
                <w:bCs/>
                <w:color w:val="FFFFFF"/>
                <w:lang w:val="hr-HR"/>
              </w:rPr>
              <w:t>OB</w:t>
            </w:r>
            <w:r w:rsidRPr="007514A7">
              <w:rPr>
                <w:rFonts w:eastAsia="Myriad Pro" w:cs="Myriad Pro"/>
                <w:b/>
                <w:bCs/>
                <w:color w:val="FFFFFF"/>
                <w:spacing w:val="2"/>
                <w:lang w:val="hr-HR"/>
              </w:rPr>
              <w:t>R</w:t>
            </w:r>
            <w:r w:rsidRPr="007514A7">
              <w:rPr>
                <w:rFonts w:eastAsia="Myriad Pro" w:cs="Myriad Pro"/>
                <w:b/>
                <w:bCs/>
                <w:color w:val="FFFFFF"/>
                <w:spacing w:val="1"/>
                <w:lang w:val="hr-HR"/>
              </w:rPr>
              <w:t>A</w:t>
            </w:r>
            <w:r w:rsidRPr="007514A7">
              <w:rPr>
                <w:rFonts w:eastAsia="Myriad Pro" w:cs="Myriad Pro"/>
                <w:b/>
                <w:bCs/>
                <w:color w:val="FFFFFF"/>
                <w:spacing w:val="2"/>
                <w:lang w:val="hr-HR"/>
              </w:rPr>
              <w:t>Z</w:t>
            </w:r>
            <w:r w:rsidRPr="007514A7">
              <w:rPr>
                <w:rFonts w:eastAsia="Myriad Pro" w:cs="Myriad Pro"/>
                <w:b/>
                <w:bCs/>
                <w:color w:val="FFFFFF"/>
                <w:spacing w:val="-5"/>
                <w:lang w:val="hr-HR"/>
              </w:rPr>
              <w:t>A</w:t>
            </w:r>
            <w:r w:rsidRPr="007514A7">
              <w:rPr>
                <w:rFonts w:eastAsia="Myriad Pro" w:cs="Myriad Pro"/>
                <w:b/>
                <w:bCs/>
                <w:color w:val="FFFFFF"/>
                <w:lang w:val="hr-HR"/>
              </w:rPr>
              <w:t>C</w:t>
            </w:r>
          </w:p>
          <w:p w14:paraId="327695EA" w14:textId="77777777" w:rsidR="00B2685E" w:rsidRPr="007514A7" w:rsidRDefault="00B13212" w:rsidP="00341285">
            <w:pPr>
              <w:spacing w:after="0" w:line="260" w:lineRule="exact"/>
              <w:ind w:left="849" w:right="828"/>
              <w:jc w:val="center"/>
              <w:rPr>
                <w:rFonts w:eastAsia="Myriad Pro" w:cs="Myriad Pro"/>
                <w:b/>
                <w:bCs/>
                <w:color w:val="FFFFFF"/>
                <w:lang w:val="hr-HR"/>
              </w:rPr>
            </w:pPr>
            <w:r w:rsidRPr="007514A7">
              <w:rPr>
                <w:rFonts w:eastAsia="Myriad Pro" w:cs="Myriad Pro"/>
                <w:b/>
                <w:bCs/>
                <w:color w:val="FFFFFF"/>
                <w:lang w:val="hr-HR"/>
              </w:rPr>
              <w:t>IZ</w:t>
            </w:r>
            <w:r w:rsidRPr="007514A7">
              <w:rPr>
                <w:rFonts w:eastAsia="Myriad Pro" w:cs="Myriad Pro"/>
                <w:b/>
                <w:bCs/>
                <w:color w:val="FFFFFF"/>
                <w:spacing w:val="-9"/>
                <w:lang w:val="hr-HR"/>
              </w:rPr>
              <w:t>V</w:t>
            </w:r>
            <w:r w:rsidRPr="007514A7">
              <w:rPr>
                <w:rFonts w:eastAsia="Myriad Pro" w:cs="Myriad Pro"/>
                <w:b/>
                <w:bCs/>
                <w:color w:val="FFFFFF"/>
                <w:lang w:val="hr-HR"/>
              </w:rPr>
              <w:t>JEŠ</w:t>
            </w:r>
            <w:r w:rsidRPr="007514A7">
              <w:rPr>
                <w:rFonts w:eastAsia="Myriad Pro" w:cs="Myriad Pro"/>
                <w:b/>
                <w:bCs/>
                <w:color w:val="FFFFFF"/>
                <w:spacing w:val="2"/>
                <w:lang w:val="hr-HR"/>
              </w:rPr>
              <w:t>Ć</w:t>
            </w:r>
            <w:r w:rsidRPr="007514A7">
              <w:rPr>
                <w:rFonts w:eastAsia="Myriad Pro" w:cs="Myriad Pro"/>
                <w:b/>
                <w:bCs/>
                <w:color w:val="FFFFFF"/>
                <w:lang w:val="hr-HR"/>
              </w:rPr>
              <w:t>A O PR</w:t>
            </w:r>
            <w:r w:rsidRPr="007514A7">
              <w:rPr>
                <w:rFonts w:eastAsia="Myriad Pro" w:cs="Myriad Pro"/>
                <w:b/>
                <w:bCs/>
                <w:color w:val="FFFFFF"/>
                <w:spacing w:val="-2"/>
                <w:lang w:val="hr-HR"/>
              </w:rPr>
              <w:t>O</w:t>
            </w:r>
            <w:r w:rsidRPr="007514A7">
              <w:rPr>
                <w:rFonts w:eastAsia="Myriad Pro" w:cs="Myriad Pro"/>
                <w:b/>
                <w:bCs/>
                <w:color w:val="FFFFFF"/>
                <w:lang w:val="hr-HR"/>
              </w:rPr>
              <w:t>VEDENOM S</w:t>
            </w:r>
            <w:r w:rsidRPr="007514A7">
              <w:rPr>
                <w:rFonts w:eastAsia="Myriad Pro" w:cs="Myriad Pro"/>
                <w:b/>
                <w:bCs/>
                <w:color w:val="FFFFFF"/>
                <w:spacing w:val="-13"/>
                <w:lang w:val="hr-HR"/>
              </w:rPr>
              <w:t>A</w:t>
            </w:r>
            <w:r w:rsidRPr="007514A7">
              <w:rPr>
                <w:rFonts w:eastAsia="Myriad Pro" w:cs="Myriad Pro"/>
                <w:b/>
                <w:bCs/>
                <w:color w:val="FFFFFF"/>
                <w:spacing w:val="-9"/>
                <w:lang w:val="hr-HR"/>
              </w:rPr>
              <w:t>V</w:t>
            </w:r>
            <w:r w:rsidRPr="007514A7">
              <w:rPr>
                <w:rFonts w:eastAsia="Myriad Pro" w:cs="Myriad Pro"/>
                <w:b/>
                <w:bCs/>
                <w:color w:val="FFFFFF"/>
                <w:lang w:val="hr-HR"/>
              </w:rPr>
              <w:t>JE</w:t>
            </w:r>
            <w:r w:rsidRPr="007514A7">
              <w:rPr>
                <w:rFonts w:eastAsia="Myriad Pro" w:cs="Myriad Pro"/>
                <w:b/>
                <w:bCs/>
                <w:color w:val="FFFFFF"/>
                <w:spacing w:val="-6"/>
                <w:lang w:val="hr-HR"/>
              </w:rPr>
              <w:t>T</w:t>
            </w:r>
            <w:r w:rsidRPr="007514A7">
              <w:rPr>
                <w:rFonts w:eastAsia="Myriad Pro" w:cs="Myriad Pro"/>
                <w:b/>
                <w:bCs/>
                <w:color w:val="FFFFFF"/>
                <w:spacing w:val="-2"/>
                <w:lang w:val="hr-HR"/>
              </w:rPr>
              <w:t>O</w:t>
            </w:r>
            <w:r w:rsidRPr="007514A7">
              <w:rPr>
                <w:rFonts w:eastAsia="Myriad Pro" w:cs="Myriad Pro"/>
                <w:b/>
                <w:bCs/>
                <w:color w:val="FFFFFF"/>
                <w:spacing w:val="-12"/>
                <w:lang w:val="hr-HR"/>
              </w:rPr>
              <w:t>V</w:t>
            </w:r>
            <w:r w:rsidRPr="007514A7">
              <w:rPr>
                <w:rFonts w:eastAsia="Myriad Pro" w:cs="Myriad Pro"/>
                <w:b/>
                <w:bCs/>
                <w:color w:val="FFFFFF"/>
                <w:lang w:val="hr-HR"/>
              </w:rPr>
              <w:t xml:space="preserve">ANJU SA </w:t>
            </w:r>
            <w:r w:rsidRPr="007514A7">
              <w:rPr>
                <w:rFonts w:eastAsia="Myriad Pro" w:cs="Myriad Pro"/>
                <w:b/>
                <w:bCs/>
                <w:color w:val="FFFFFF"/>
                <w:spacing w:val="2"/>
                <w:lang w:val="hr-HR"/>
              </w:rPr>
              <w:t>Z</w:t>
            </w:r>
            <w:r w:rsidRPr="007514A7">
              <w:rPr>
                <w:rFonts w:eastAsia="Myriad Pro" w:cs="Myriad Pro"/>
                <w:b/>
                <w:bCs/>
                <w:color w:val="FFFFFF"/>
                <w:lang w:val="hr-HR"/>
              </w:rPr>
              <w:t>AINTERESI</w:t>
            </w:r>
            <w:r w:rsidRPr="007514A7">
              <w:rPr>
                <w:rFonts w:eastAsia="Myriad Pro" w:cs="Myriad Pro"/>
                <w:b/>
                <w:bCs/>
                <w:color w:val="FFFFFF"/>
                <w:spacing w:val="2"/>
                <w:lang w:val="hr-HR"/>
              </w:rPr>
              <w:t>R</w:t>
            </w:r>
            <w:r w:rsidRPr="007514A7">
              <w:rPr>
                <w:rFonts w:eastAsia="Myriad Pro" w:cs="Myriad Pro"/>
                <w:b/>
                <w:bCs/>
                <w:color w:val="FFFFFF"/>
                <w:lang w:val="hr-HR"/>
              </w:rPr>
              <w:t xml:space="preserve">ANOM </w:t>
            </w:r>
          </w:p>
          <w:p w14:paraId="0A61F094" w14:textId="77777777" w:rsidR="00B2685E" w:rsidRPr="007514A7" w:rsidRDefault="00B2685E" w:rsidP="00341285">
            <w:pPr>
              <w:spacing w:after="0" w:line="260" w:lineRule="exact"/>
              <w:ind w:left="849" w:right="828"/>
              <w:jc w:val="center"/>
              <w:rPr>
                <w:rFonts w:eastAsia="Myriad Pro" w:cs="Myriad Pro"/>
                <w:b/>
                <w:bCs/>
                <w:color w:val="FFFFFF"/>
                <w:lang w:val="hr-HR"/>
              </w:rPr>
            </w:pPr>
          </w:p>
          <w:p w14:paraId="6A570494" w14:textId="77777777" w:rsidR="001D7128" w:rsidRPr="007514A7" w:rsidRDefault="00B13212" w:rsidP="00341285">
            <w:pPr>
              <w:spacing w:after="0" w:line="260" w:lineRule="exact"/>
              <w:ind w:left="849" w:right="828"/>
              <w:jc w:val="center"/>
              <w:rPr>
                <w:rFonts w:eastAsia="Myriad Pro" w:cs="Myriad Pro"/>
                <w:lang w:val="hr-HR"/>
              </w:rPr>
            </w:pPr>
            <w:r w:rsidRPr="007514A7">
              <w:rPr>
                <w:rFonts w:eastAsia="Myriad Pro" w:cs="Myriad Pro"/>
                <w:b/>
                <w:bCs/>
                <w:color w:val="FFFFFF"/>
                <w:lang w:val="hr-HR"/>
              </w:rPr>
              <w:t>J</w:t>
            </w:r>
            <w:r w:rsidRPr="007514A7">
              <w:rPr>
                <w:rFonts w:eastAsia="Myriad Pro" w:cs="Myriad Pro"/>
                <w:b/>
                <w:bCs/>
                <w:color w:val="FFFFFF"/>
                <w:spacing w:val="-13"/>
                <w:lang w:val="hr-HR"/>
              </w:rPr>
              <w:t>A</w:t>
            </w:r>
            <w:r w:rsidR="00B33DE8" w:rsidRPr="007514A7">
              <w:rPr>
                <w:rFonts w:eastAsia="Myriad Pro" w:cs="Myriad Pro"/>
                <w:b/>
                <w:bCs/>
                <w:color w:val="FFFFFF"/>
                <w:lang w:val="hr-HR"/>
              </w:rPr>
              <w:t>VNOŠ</w:t>
            </w:r>
            <w:r w:rsidR="00B33DE8" w:rsidRPr="007514A7">
              <w:rPr>
                <w:rFonts w:eastAsia="MS Gothic" w:cs="MS Gothic"/>
                <w:b/>
                <w:bCs/>
                <w:color w:val="FFFFFF"/>
                <w:lang w:val="hr-HR"/>
              </w:rPr>
              <w:t>Ć</w:t>
            </w:r>
            <w:r w:rsidRPr="007514A7">
              <w:rPr>
                <w:rFonts w:eastAsia="Myriad Pro" w:cs="Myriad Pro"/>
                <w:b/>
                <w:bCs/>
                <w:color w:val="FFFFFF"/>
                <w:lang w:val="hr-HR"/>
              </w:rPr>
              <w:t>U</w:t>
            </w:r>
          </w:p>
        </w:tc>
      </w:tr>
      <w:tr w:rsidR="001D7128" w:rsidRPr="007514A7" w14:paraId="30933896" w14:textId="77777777" w:rsidTr="007514A7">
        <w:trPr>
          <w:trHeight w:hRule="exact" w:val="1260"/>
        </w:trPr>
        <w:tc>
          <w:tcPr>
            <w:tcW w:w="3827" w:type="dxa"/>
            <w:tcBorders>
              <w:top w:val="single" w:sz="4" w:space="0" w:color="8177B7"/>
              <w:left w:val="single" w:sz="4" w:space="0" w:color="231F20"/>
              <w:bottom w:val="single" w:sz="4" w:space="0" w:color="231F20"/>
              <w:right w:val="single" w:sz="4" w:space="0" w:color="231F20"/>
            </w:tcBorders>
            <w:shd w:val="clear" w:color="auto" w:fill="DEDCEE"/>
          </w:tcPr>
          <w:p w14:paraId="62B1F508" w14:textId="77777777" w:rsidR="001D7128" w:rsidRPr="007514A7" w:rsidRDefault="001D7128">
            <w:pPr>
              <w:spacing w:before="8" w:after="0" w:line="110" w:lineRule="exact"/>
              <w:rPr>
                <w:sz w:val="11"/>
                <w:szCs w:val="11"/>
                <w:lang w:val="hr-HR"/>
              </w:rPr>
            </w:pPr>
          </w:p>
          <w:p w14:paraId="60120F8B" w14:textId="77777777" w:rsidR="001D7128" w:rsidRPr="007514A7" w:rsidRDefault="001D7128">
            <w:pPr>
              <w:spacing w:after="0" w:line="200" w:lineRule="exact"/>
              <w:rPr>
                <w:sz w:val="20"/>
                <w:szCs w:val="20"/>
                <w:lang w:val="hr-HR"/>
              </w:rPr>
            </w:pPr>
          </w:p>
          <w:p w14:paraId="2FEB26F5"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Nasl</w:t>
            </w:r>
            <w:r w:rsidRPr="007514A7">
              <w:rPr>
                <w:rFonts w:eastAsia="Myriad Pro" w:cs="Myriad Pro"/>
                <w:color w:val="231F20"/>
                <w:spacing w:val="-2"/>
                <w:lang w:val="hr-HR"/>
              </w:rPr>
              <w:t>o</w:t>
            </w:r>
            <w:r w:rsidRPr="007514A7">
              <w:rPr>
                <w:rFonts w:eastAsia="Myriad Pro" w:cs="Myriad Pro"/>
                <w:color w:val="231F20"/>
                <w:lang w:val="hr-HR"/>
              </w:rPr>
              <w:t>v dokumenta</w:t>
            </w:r>
          </w:p>
        </w:tc>
        <w:tc>
          <w:tcPr>
            <w:tcW w:w="5741" w:type="dxa"/>
            <w:gridSpan w:val="2"/>
            <w:tcBorders>
              <w:top w:val="single" w:sz="4" w:space="0" w:color="8177B7"/>
              <w:left w:val="single" w:sz="4" w:space="0" w:color="231F20"/>
              <w:bottom w:val="single" w:sz="4" w:space="0" w:color="231F20"/>
              <w:right w:val="single" w:sz="4" w:space="0" w:color="231F20"/>
            </w:tcBorders>
            <w:shd w:val="clear" w:color="auto" w:fill="DEDCEE"/>
          </w:tcPr>
          <w:p w14:paraId="710D917C" w14:textId="550A1509" w:rsidR="001D7128" w:rsidRPr="007514A7" w:rsidRDefault="00B13212" w:rsidP="00517EB5">
            <w:pPr>
              <w:spacing w:before="35" w:after="0" w:line="240" w:lineRule="auto"/>
              <w:ind w:right="256"/>
              <w:jc w:val="both"/>
              <w:rPr>
                <w:rFonts w:eastAsia="Myriad Pro" w:cs="Myriad Pro"/>
                <w:sz w:val="16"/>
                <w:szCs w:val="16"/>
                <w:lang w:val="hr-HR"/>
              </w:rPr>
            </w:pPr>
            <w:r w:rsidRPr="007514A7">
              <w:rPr>
                <w:rFonts w:eastAsia="Myriad Pro" w:cs="Myriad Pro"/>
                <w:color w:val="231F20"/>
                <w:spacing w:val="2"/>
                <w:lang w:val="hr-HR"/>
              </w:rPr>
              <w:t>I</w:t>
            </w:r>
            <w:r w:rsidRPr="007514A7">
              <w:rPr>
                <w:rFonts w:eastAsia="Myriad Pro" w:cs="Myriad Pro"/>
                <w:color w:val="231F20"/>
                <w:spacing w:val="5"/>
                <w:lang w:val="hr-HR"/>
              </w:rPr>
              <w:t>z</w:t>
            </w:r>
            <w:r w:rsidRPr="007514A7">
              <w:rPr>
                <w:rFonts w:eastAsia="Myriad Pro" w:cs="Myriad Pro"/>
                <w:color w:val="231F20"/>
                <w:lang w:val="hr-HR"/>
              </w:rPr>
              <w:t>vješ</w:t>
            </w:r>
            <w:r w:rsidR="00B33DE8" w:rsidRPr="007514A7">
              <w:rPr>
                <w:rFonts w:eastAsia="MS Gothic" w:cs="MS Gothic"/>
                <w:color w:val="231F20"/>
                <w:spacing w:val="-1"/>
                <w:lang w:val="hr-HR"/>
              </w:rPr>
              <w:t>ć</w:t>
            </w:r>
            <w:r w:rsidRPr="007514A7">
              <w:rPr>
                <w:rFonts w:eastAsia="Myriad Pro" w:cs="Myriad Pro"/>
                <w:color w:val="231F20"/>
                <w:lang w:val="hr-HR"/>
              </w:rPr>
              <w:t>e o p</w:t>
            </w:r>
            <w:r w:rsidRPr="007514A7">
              <w:rPr>
                <w:rFonts w:eastAsia="Myriad Pro" w:cs="Myriad Pro"/>
                <w:color w:val="231F20"/>
                <w:spacing w:val="-2"/>
                <w:lang w:val="hr-HR"/>
              </w:rPr>
              <w:t>rov</w:t>
            </w:r>
            <w:r w:rsidRPr="007514A7">
              <w:rPr>
                <w:rFonts w:eastAsia="Myriad Pro" w:cs="Myriad Pro"/>
                <w:color w:val="231F20"/>
                <w:lang w:val="hr-HR"/>
              </w:rPr>
              <w:t>edenom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anju o nac</w:t>
            </w:r>
            <w:r w:rsidRPr="007514A7">
              <w:rPr>
                <w:rFonts w:eastAsia="Myriad Pro" w:cs="Myriad Pro"/>
                <w:color w:val="231F20"/>
                <w:spacing w:val="5"/>
                <w:lang w:val="hr-HR"/>
              </w:rPr>
              <w:t>r</w:t>
            </w:r>
            <w:r w:rsidRPr="007514A7">
              <w:rPr>
                <w:rFonts w:eastAsia="Myriad Pro" w:cs="Myriad Pro"/>
                <w:color w:val="231F20"/>
                <w:lang w:val="hr-HR"/>
              </w:rPr>
              <w:t>tu prijedloga</w:t>
            </w:r>
            <w:r w:rsidR="00517EB5">
              <w:rPr>
                <w:rFonts w:eastAsia="Myriad Pro" w:cs="Myriad Pro"/>
                <w:color w:val="231F20"/>
                <w:lang w:val="hr-HR"/>
              </w:rPr>
              <w:t xml:space="preserve"> </w:t>
            </w:r>
            <w:r w:rsidR="007514A7" w:rsidRPr="007514A7">
              <w:rPr>
                <w:rFonts w:eastAsia="Myriad Pro" w:cs="Myriad Pro"/>
                <w:lang w:val="hr-HR"/>
              </w:rPr>
              <w:t>Smjernica za integraciju održivog energetskog planiranja i prilagodbe klimatskim promjenama (SECAP) u Generalni urbanistički plan (GUP)grada Karlovca</w:t>
            </w:r>
            <w:r w:rsidR="007514A7" w:rsidRPr="007514A7">
              <w:rPr>
                <w:rFonts w:eastAsia="Myriad Pro" w:cs="Myriad Pro"/>
                <w:b/>
                <w:bCs/>
                <w:lang w:val="hr-HR"/>
              </w:rPr>
              <w:t xml:space="preserve"> </w:t>
            </w:r>
          </w:p>
        </w:tc>
      </w:tr>
      <w:tr w:rsidR="001D7128" w:rsidRPr="007514A7" w14:paraId="22A7F07A" w14:textId="77777777" w:rsidTr="007514A7">
        <w:trPr>
          <w:trHeight w:hRule="exact" w:val="1136"/>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1AEE93C2" w14:textId="77777777" w:rsidR="001D7128" w:rsidRPr="007514A7" w:rsidRDefault="00B13212">
            <w:pPr>
              <w:spacing w:before="37" w:after="0" w:line="260" w:lineRule="exact"/>
              <w:ind w:left="108" w:right="609"/>
              <w:rPr>
                <w:rFonts w:eastAsia="Myriad Pro" w:cs="Myriad Pro"/>
                <w:lang w:val="hr-HR"/>
              </w:rPr>
            </w:pPr>
            <w:r w:rsidRPr="007514A7">
              <w:rPr>
                <w:rFonts w:eastAsia="Myriad Pro" w:cs="Myriad Pro"/>
                <w:color w:val="231F20"/>
                <w:lang w:val="hr-HR"/>
              </w:rPr>
              <w:t>S</w:t>
            </w:r>
            <w:r w:rsidRPr="007514A7">
              <w:rPr>
                <w:rFonts w:eastAsia="Myriad Pro" w:cs="Myriad Pro"/>
                <w:color w:val="231F20"/>
                <w:spacing w:val="2"/>
                <w:lang w:val="hr-HR"/>
              </w:rPr>
              <w:t>t</w:t>
            </w:r>
            <w:r w:rsidRPr="007514A7">
              <w:rPr>
                <w:rFonts w:eastAsia="Myriad Pro" w:cs="Myriad Pro"/>
                <w:color w:val="231F20"/>
                <w:lang w:val="hr-HR"/>
              </w:rPr>
              <w:t>vara</w:t>
            </w:r>
            <w:r w:rsidRPr="007514A7">
              <w:rPr>
                <w:rFonts w:eastAsia="Myriad Pro" w:cs="Myriad Pro"/>
                <w:color w:val="231F20"/>
                <w:spacing w:val="-1"/>
                <w:lang w:val="hr-HR"/>
              </w:rPr>
              <w:t>t</w:t>
            </w:r>
            <w:r w:rsidRPr="007514A7">
              <w:rPr>
                <w:rFonts w:eastAsia="Myriad Pro" w:cs="Myriad Pro"/>
                <w:color w:val="231F20"/>
                <w:lang w:val="hr-HR"/>
              </w:rPr>
              <w:t>elj dokumenta, tijelo koje p</w:t>
            </w:r>
            <w:r w:rsidRPr="007514A7">
              <w:rPr>
                <w:rFonts w:eastAsia="Myriad Pro" w:cs="Myriad Pro"/>
                <w:color w:val="231F20"/>
                <w:spacing w:val="-2"/>
                <w:lang w:val="hr-HR"/>
              </w:rPr>
              <w:t>rov</w:t>
            </w:r>
            <w:r w:rsidRPr="007514A7">
              <w:rPr>
                <w:rFonts w:eastAsia="Myriad Pro" w:cs="Myriad Pro"/>
                <w:color w:val="231F20"/>
                <w:lang w:val="hr-HR"/>
              </w:rPr>
              <w:t>odi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anje</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DA734F8" w14:textId="27AE67E8" w:rsidR="001D7128" w:rsidRPr="007514A7" w:rsidRDefault="007514A7" w:rsidP="007514A7">
            <w:pPr>
              <w:spacing w:before="37" w:after="0" w:line="260" w:lineRule="exact"/>
              <w:ind w:left="165" w:right="991"/>
              <w:jc w:val="both"/>
              <w:rPr>
                <w:rFonts w:eastAsia="Myriad Pro" w:cs="Myriad Pro"/>
                <w:lang w:val="hr-HR"/>
              </w:rPr>
            </w:pPr>
            <w:r w:rsidRPr="007514A7">
              <w:rPr>
                <w:rFonts w:eastAsia="Myriad Pro" w:cs="Myriad Pro"/>
                <w:color w:val="231F20"/>
                <w:spacing w:val="-3"/>
                <w:lang w:val="hr-HR"/>
              </w:rPr>
              <w:t>Regionalna energetska agencija sjeverozapadne Hrvatske i Grad Karlovac, Upravni odjel za prostorno uređenje i poslove provedbe dokumenata prostornog uređenja</w:t>
            </w:r>
          </w:p>
        </w:tc>
      </w:tr>
      <w:tr w:rsidR="001D7128" w:rsidRPr="007514A7" w14:paraId="521CFC9A" w14:textId="77777777" w:rsidTr="007514A7">
        <w:trPr>
          <w:trHeight w:hRule="exact" w:val="112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1FC13EC1" w14:textId="77777777" w:rsidR="001D7128" w:rsidRPr="007514A7" w:rsidRDefault="001D7128">
            <w:pPr>
              <w:spacing w:before="8" w:after="0" w:line="130" w:lineRule="exact"/>
              <w:rPr>
                <w:sz w:val="13"/>
                <w:szCs w:val="13"/>
                <w:lang w:val="hr-HR"/>
              </w:rPr>
            </w:pPr>
          </w:p>
          <w:p w14:paraId="53914210" w14:textId="77777777" w:rsidR="001D7128" w:rsidRPr="007514A7" w:rsidRDefault="001D7128">
            <w:pPr>
              <w:spacing w:after="0" w:line="200" w:lineRule="exact"/>
              <w:rPr>
                <w:sz w:val="20"/>
                <w:szCs w:val="20"/>
                <w:lang w:val="hr-HR"/>
              </w:rPr>
            </w:pPr>
          </w:p>
          <w:p w14:paraId="06A03263"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2"/>
                <w:lang w:val="hr-HR"/>
              </w:rPr>
              <w:t>S</w:t>
            </w:r>
            <w:r w:rsidRPr="007514A7">
              <w:rPr>
                <w:rFonts w:eastAsia="Myriad Pro" w:cs="Myriad Pro"/>
                <w:color w:val="231F20"/>
                <w:lang w:val="hr-HR"/>
              </w:rPr>
              <w:t>vrha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4AB9B9E2" w14:textId="1C24AE7D" w:rsidR="001D7128" w:rsidRPr="007514A7" w:rsidRDefault="00B13212">
            <w:pPr>
              <w:spacing w:before="37" w:after="0" w:line="260" w:lineRule="exact"/>
              <w:ind w:left="165" w:right="87"/>
              <w:rPr>
                <w:rFonts w:eastAsia="Myriad Pro" w:cs="Myriad Pro"/>
                <w:iCs/>
                <w:lang w:val="hr-HR"/>
              </w:rPr>
            </w:pPr>
            <w:r w:rsidRPr="007514A7">
              <w:rPr>
                <w:rFonts w:eastAsia="Myriad Pro" w:cs="Myriad Pro"/>
                <w:iCs/>
                <w:color w:val="231F20"/>
                <w:spacing w:val="2"/>
                <w:lang w:val="hr-HR"/>
              </w:rPr>
              <w:t>I</w:t>
            </w:r>
            <w:r w:rsidRPr="007514A7">
              <w:rPr>
                <w:rFonts w:eastAsia="Myriad Pro" w:cs="Myriad Pro"/>
                <w:iCs/>
                <w:color w:val="231F20"/>
                <w:spacing w:val="5"/>
                <w:lang w:val="hr-HR"/>
              </w:rPr>
              <w:t>z</w:t>
            </w:r>
            <w:r w:rsidRPr="007514A7">
              <w:rPr>
                <w:rFonts w:eastAsia="Myriad Pro" w:cs="Myriad Pro"/>
                <w:iCs/>
                <w:color w:val="231F20"/>
                <w:lang w:val="hr-HR"/>
              </w:rPr>
              <w:t>vješći</w:t>
            </w:r>
            <w:r w:rsidRPr="007514A7">
              <w:rPr>
                <w:rFonts w:eastAsia="Myriad Pro" w:cs="Myriad Pro"/>
                <w:iCs/>
                <w:color w:val="231F20"/>
                <w:spacing w:val="-4"/>
                <w:lang w:val="hr-HR"/>
              </w:rPr>
              <w:t>v</w:t>
            </w:r>
            <w:r w:rsidRPr="007514A7">
              <w:rPr>
                <w:rFonts w:eastAsia="Myriad Pro" w:cs="Myriad Pro"/>
                <w:iCs/>
                <w:color w:val="231F20"/>
                <w:lang w:val="hr-HR"/>
              </w:rPr>
              <w:t>anje o p</w:t>
            </w:r>
            <w:r w:rsidRPr="007514A7">
              <w:rPr>
                <w:rFonts w:eastAsia="Myriad Pro" w:cs="Myriad Pro"/>
                <w:iCs/>
                <w:color w:val="231F20"/>
                <w:spacing w:val="-1"/>
                <w:lang w:val="hr-HR"/>
              </w:rPr>
              <w:t>r</w:t>
            </w:r>
            <w:r w:rsidRPr="007514A7">
              <w:rPr>
                <w:rFonts w:eastAsia="Myriad Pro" w:cs="Myriad Pro"/>
                <w:iCs/>
                <w:color w:val="231F20"/>
                <w:spacing w:val="-2"/>
                <w:lang w:val="hr-HR"/>
              </w:rPr>
              <w:t>ov</w:t>
            </w:r>
            <w:r w:rsidRPr="007514A7">
              <w:rPr>
                <w:rFonts w:eastAsia="Myriad Pro" w:cs="Myriad Pro"/>
                <w:iCs/>
                <w:color w:val="231F20"/>
                <w:lang w:val="hr-HR"/>
              </w:rPr>
              <w:t>edenom savjet</w:t>
            </w:r>
            <w:r w:rsidRPr="007514A7">
              <w:rPr>
                <w:rFonts w:eastAsia="Myriad Pro" w:cs="Myriad Pro"/>
                <w:iCs/>
                <w:color w:val="231F20"/>
                <w:spacing w:val="-2"/>
                <w:lang w:val="hr-HR"/>
              </w:rPr>
              <w:t>o</w:t>
            </w:r>
            <w:r w:rsidRPr="007514A7">
              <w:rPr>
                <w:rFonts w:eastAsia="Myriad Pro" w:cs="Myriad Pro"/>
                <w:iCs/>
                <w:color w:val="231F20"/>
                <w:spacing w:val="-4"/>
                <w:lang w:val="hr-HR"/>
              </w:rPr>
              <w:t>v</w:t>
            </w:r>
            <w:r w:rsidRPr="007514A7">
              <w:rPr>
                <w:rFonts w:eastAsia="Myriad Pro" w:cs="Myriad Pro"/>
                <w:iCs/>
                <w:color w:val="231F20"/>
                <w:lang w:val="hr-HR"/>
              </w:rPr>
              <w:t>anju sa zainte</w:t>
            </w:r>
            <w:r w:rsidRPr="007514A7">
              <w:rPr>
                <w:rFonts w:eastAsia="Myriad Pro" w:cs="Myriad Pro"/>
                <w:iCs/>
                <w:color w:val="231F20"/>
                <w:spacing w:val="-1"/>
                <w:lang w:val="hr-HR"/>
              </w:rPr>
              <w:t>r</w:t>
            </w:r>
            <w:r w:rsidRPr="007514A7">
              <w:rPr>
                <w:rFonts w:eastAsia="Myriad Pro" w:cs="Myriad Pro"/>
                <w:iCs/>
                <w:color w:val="231F20"/>
                <w:lang w:val="hr-HR"/>
              </w:rPr>
              <w:t>esi</w:t>
            </w:r>
            <w:r w:rsidRPr="007514A7">
              <w:rPr>
                <w:rFonts w:eastAsia="Myriad Pro" w:cs="Myriad Pro"/>
                <w:iCs/>
                <w:color w:val="231F20"/>
                <w:spacing w:val="-3"/>
                <w:lang w:val="hr-HR"/>
              </w:rPr>
              <w:t>r</w:t>
            </w:r>
            <w:r w:rsidRPr="007514A7">
              <w:rPr>
                <w:rFonts w:eastAsia="Myriad Pro" w:cs="Myriad Pro"/>
                <w:iCs/>
                <w:color w:val="231F20"/>
                <w:lang w:val="hr-HR"/>
              </w:rPr>
              <w:t>anom javnošću o</w:t>
            </w:r>
            <w:r w:rsidR="007514A7" w:rsidRPr="007514A7">
              <w:rPr>
                <w:rFonts w:eastAsia="Myriad Pro" w:cs="Myriad Pro"/>
                <w:iCs/>
                <w:color w:val="231F20"/>
                <w:lang w:val="hr-HR"/>
              </w:rPr>
              <w:t xml:space="preserve"> Smjernicama za integraciju održivog energetskog planiranja i prilagodbe klimatskim promjenama (SECAP) u Generalni urbanistički plan (GUP)grada Karlovca</w:t>
            </w:r>
          </w:p>
        </w:tc>
      </w:tr>
      <w:tr w:rsidR="001D7128" w:rsidRPr="007514A7" w14:paraId="786EEB90"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D137032" w14:textId="77777777" w:rsidR="001D7128" w:rsidRPr="007514A7" w:rsidRDefault="001D7128">
            <w:pPr>
              <w:spacing w:before="3" w:after="0" w:line="120" w:lineRule="exact"/>
              <w:rPr>
                <w:sz w:val="12"/>
                <w:szCs w:val="12"/>
                <w:lang w:val="hr-HR"/>
              </w:rPr>
            </w:pPr>
          </w:p>
          <w:p w14:paraId="2DC3F63F"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Datum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65368A92" w14:textId="6F5DA25A" w:rsidR="001D7128" w:rsidRPr="007514A7" w:rsidRDefault="005D72F3">
            <w:pPr>
              <w:spacing w:after="0" w:line="240" w:lineRule="auto"/>
              <w:ind w:left="165" w:right="-20"/>
              <w:rPr>
                <w:rFonts w:eastAsia="Myriad Pro" w:cs="Myriad Pro"/>
                <w:lang w:val="hr-HR"/>
              </w:rPr>
            </w:pPr>
            <w:r>
              <w:rPr>
                <w:rFonts w:eastAsia="Myriad Pro" w:cs="Myriad Pro"/>
                <w:color w:val="231F20"/>
                <w:lang w:val="hr-HR"/>
              </w:rPr>
              <w:t>17.9.2021.</w:t>
            </w:r>
          </w:p>
        </w:tc>
      </w:tr>
      <w:tr w:rsidR="001D7128" w:rsidRPr="007514A7" w14:paraId="2206E17F"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524FDC10" w14:textId="77777777" w:rsidR="001D7128" w:rsidRPr="007514A7" w:rsidRDefault="001D7128">
            <w:pPr>
              <w:spacing w:before="3" w:after="0" w:line="120" w:lineRule="exact"/>
              <w:rPr>
                <w:sz w:val="12"/>
                <w:szCs w:val="12"/>
                <w:lang w:val="hr-HR"/>
              </w:rPr>
            </w:pPr>
          </w:p>
          <w:p w14:paraId="5CBA2941"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7"/>
                <w:lang w:val="hr-HR"/>
              </w:rPr>
              <w:t>V</w:t>
            </w:r>
            <w:r w:rsidRPr="007514A7">
              <w:rPr>
                <w:rFonts w:eastAsia="Myriad Pro" w:cs="Myriad Pro"/>
                <w:color w:val="231F20"/>
                <w:lang w:val="hr-HR"/>
              </w:rPr>
              <w:t>e</w:t>
            </w:r>
            <w:r w:rsidRPr="007514A7">
              <w:rPr>
                <w:rFonts w:eastAsia="Myriad Pro" w:cs="Myriad Pro"/>
                <w:color w:val="231F20"/>
                <w:spacing w:val="2"/>
                <w:lang w:val="hr-HR"/>
              </w:rPr>
              <w:t>r</w:t>
            </w:r>
            <w:r w:rsidRPr="007514A7">
              <w:rPr>
                <w:rFonts w:eastAsia="Myriad Pro" w:cs="Myriad Pro"/>
                <w:color w:val="231F20"/>
                <w:lang w:val="hr-HR"/>
              </w:rPr>
              <w:t>zija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CCD7B7A" w14:textId="57279B61" w:rsidR="001D7128" w:rsidRPr="007514A7" w:rsidRDefault="000B4163">
            <w:pPr>
              <w:rPr>
                <w:lang w:val="hr-HR"/>
              </w:rPr>
            </w:pPr>
            <w:r>
              <w:rPr>
                <w:lang w:val="hr-HR"/>
              </w:rPr>
              <w:t xml:space="preserve">   </w:t>
            </w:r>
            <w:r w:rsidR="005D72F3">
              <w:rPr>
                <w:lang w:val="hr-HR"/>
              </w:rPr>
              <w:t>Prva</w:t>
            </w:r>
          </w:p>
        </w:tc>
      </w:tr>
      <w:tr w:rsidR="001D7128" w:rsidRPr="007514A7" w14:paraId="1FD984F0"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D058772" w14:textId="77777777" w:rsidR="001D7128" w:rsidRPr="007514A7" w:rsidRDefault="001D7128">
            <w:pPr>
              <w:spacing w:before="3" w:after="0" w:line="120" w:lineRule="exact"/>
              <w:rPr>
                <w:sz w:val="12"/>
                <w:szCs w:val="12"/>
                <w:lang w:val="hr-HR"/>
              </w:rPr>
            </w:pPr>
          </w:p>
          <w:p w14:paraId="582A1719"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4"/>
                <w:lang w:val="hr-HR"/>
              </w:rPr>
              <w:t>V</w:t>
            </w:r>
            <w:r w:rsidRPr="007514A7">
              <w:rPr>
                <w:rFonts w:eastAsia="Myriad Pro" w:cs="Myriad Pro"/>
                <w:color w:val="231F20"/>
                <w:lang w:val="hr-HR"/>
              </w:rPr>
              <w:t>rsta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61C50F7E" w14:textId="77777777" w:rsidR="001D7128" w:rsidRPr="007514A7" w:rsidRDefault="001D7128">
            <w:pPr>
              <w:spacing w:before="3" w:after="0" w:line="120" w:lineRule="exact"/>
              <w:rPr>
                <w:sz w:val="12"/>
                <w:szCs w:val="12"/>
                <w:lang w:val="hr-HR"/>
              </w:rPr>
            </w:pPr>
          </w:p>
          <w:p w14:paraId="5FF046D0" w14:textId="7522BD90" w:rsidR="001D7128" w:rsidRPr="007514A7" w:rsidRDefault="005D72F3">
            <w:pPr>
              <w:spacing w:after="0" w:line="240" w:lineRule="auto"/>
              <w:ind w:left="165" w:right="-20"/>
              <w:rPr>
                <w:rFonts w:eastAsia="Myriad Pro" w:cs="Myriad Pro"/>
                <w:lang w:val="hr-HR"/>
              </w:rPr>
            </w:pPr>
            <w:r>
              <w:rPr>
                <w:rFonts w:eastAsia="Myriad Pro" w:cs="Myriad Pro"/>
                <w:color w:val="231F20"/>
                <w:spacing w:val="2"/>
                <w:lang w:val="hr-HR"/>
              </w:rPr>
              <w:t>Elaborat</w:t>
            </w:r>
          </w:p>
        </w:tc>
      </w:tr>
      <w:tr w:rsidR="001D7128" w:rsidRPr="007514A7" w14:paraId="4D3B4422" w14:textId="77777777" w:rsidTr="00517EB5">
        <w:trPr>
          <w:trHeight w:hRule="exact" w:val="1022"/>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76CDA9D3" w14:textId="511DB8A4" w:rsidR="001D7128" w:rsidRPr="007514A7" w:rsidRDefault="00B13212">
            <w:pPr>
              <w:spacing w:before="37" w:after="0" w:line="260" w:lineRule="exact"/>
              <w:ind w:left="108" w:right="225"/>
              <w:rPr>
                <w:rFonts w:eastAsia="Myriad Pro" w:cs="Myriad Pro"/>
                <w:lang w:val="hr-HR"/>
              </w:rPr>
            </w:pPr>
            <w:r w:rsidRPr="007514A7">
              <w:rPr>
                <w:rFonts w:eastAsia="Myriad Pro" w:cs="Myriad Pro"/>
                <w:color w:val="231F20"/>
                <w:lang w:val="hr-HR"/>
              </w:rPr>
              <w:t>Naziv nac</w:t>
            </w:r>
            <w:r w:rsidRPr="007514A7">
              <w:rPr>
                <w:rFonts w:eastAsia="Myriad Pro" w:cs="Myriad Pro"/>
                <w:color w:val="231F20"/>
                <w:spacing w:val="5"/>
                <w:lang w:val="hr-HR"/>
              </w:rPr>
              <w:t>r</w:t>
            </w:r>
            <w:r w:rsidRPr="007514A7">
              <w:rPr>
                <w:rFonts w:eastAsia="Myriad Pro" w:cs="Myriad Pro"/>
                <w:color w:val="231F20"/>
                <w:lang w:val="hr-HR"/>
              </w:rPr>
              <w:t>ta zakona, drugog p</w:t>
            </w:r>
            <w:r w:rsidRPr="007514A7">
              <w:rPr>
                <w:rFonts w:eastAsia="Myriad Pro" w:cs="Myriad Pro"/>
                <w:color w:val="231F20"/>
                <w:spacing w:val="-2"/>
                <w:lang w:val="hr-HR"/>
              </w:rPr>
              <w:t>r</w:t>
            </w:r>
            <w:r w:rsidRPr="007514A7">
              <w:rPr>
                <w:rFonts w:eastAsia="Myriad Pro" w:cs="Myriad Pro"/>
                <w:color w:val="231F20"/>
                <w:lang w:val="hr-HR"/>
              </w:rPr>
              <w:t>opisa ili akta</w:t>
            </w:r>
            <w:r w:rsidR="00517EB5">
              <w:rPr>
                <w:rFonts w:eastAsia="Myriad Pro" w:cs="Myriad Pro"/>
                <w:color w:val="231F20"/>
                <w:lang w:val="hr-HR"/>
              </w:rPr>
              <w:t>/dokumenta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4AF8FE29" w14:textId="4AAEFAFE" w:rsidR="001D7128" w:rsidRPr="007514A7" w:rsidRDefault="00517EB5">
            <w:pPr>
              <w:rPr>
                <w:lang w:val="hr-HR"/>
              </w:rPr>
            </w:pPr>
            <w:r w:rsidRPr="00517EB5">
              <w:rPr>
                <w:lang w:val="hr-HR"/>
              </w:rPr>
              <w:t>Smjernic</w:t>
            </w:r>
            <w:r>
              <w:rPr>
                <w:lang w:val="hr-HR"/>
              </w:rPr>
              <w:t>e</w:t>
            </w:r>
            <w:r w:rsidRPr="00517EB5">
              <w:rPr>
                <w:lang w:val="hr-HR"/>
              </w:rPr>
              <w:t xml:space="preserve"> za integraciju održivog energetskog planiranja i prilagodbe klimatskim promjenama (SECAP) u Generalni urbanistički plan (GUP)grada Karlovca</w:t>
            </w:r>
          </w:p>
        </w:tc>
      </w:tr>
      <w:tr w:rsidR="001D7128" w:rsidRPr="007514A7" w14:paraId="0299F1BB" w14:textId="77777777" w:rsidTr="00B2685E">
        <w:trPr>
          <w:trHeight w:hRule="exact" w:val="1232"/>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5B1B300" w14:textId="77777777" w:rsidR="001D7128" w:rsidRPr="007514A7" w:rsidRDefault="00B13212" w:rsidP="00B2685E">
            <w:pPr>
              <w:spacing w:before="37" w:after="0" w:line="260" w:lineRule="exact"/>
              <w:ind w:left="108" w:right="363"/>
              <w:rPr>
                <w:rFonts w:eastAsia="Myriad Pro" w:cs="Myriad Pro"/>
                <w:lang w:val="hr-HR"/>
              </w:rPr>
            </w:pPr>
            <w:r w:rsidRPr="007514A7">
              <w:rPr>
                <w:rFonts w:eastAsia="Myriad Pro" w:cs="Myriad Pro"/>
                <w:color w:val="231F20"/>
                <w:lang w:val="hr-HR"/>
              </w:rPr>
              <w:t>Jedins</w:t>
            </w:r>
            <w:r w:rsidRPr="007514A7">
              <w:rPr>
                <w:rFonts w:eastAsia="Myriad Pro" w:cs="Myriad Pro"/>
                <w:color w:val="231F20"/>
                <w:spacing w:val="2"/>
                <w:lang w:val="hr-HR"/>
              </w:rPr>
              <w:t>t</w:t>
            </w:r>
            <w:r w:rsidRPr="007514A7">
              <w:rPr>
                <w:rFonts w:eastAsia="Myriad Pro" w:cs="Myriad Pro"/>
                <w:color w:val="231F20"/>
                <w:spacing w:val="-2"/>
                <w:lang w:val="hr-HR"/>
              </w:rPr>
              <w:t>v</w:t>
            </w:r>
            <w:r w:rsidRPr="007514A7">
              <w:rPr>
                <w:rFonts w:eastAsia="Myriad Pro" w:cs="Myriad Pro"/>
                <w:color w:val="231F20"/>
                <w:lang w:val="hr-HR"/>
              </w:rPr>
              <w:t xml:space="preserve">ena </w:t>
            </w:r>
            <w:r w:rsidRPr="007514A7">
              <w:rPr>
                <w:rFonts w:eastAsia="Myriad Pro" w:cs="Myriad Pro"/>
                <w:color w:val="231F20"/>
                <w:spacing w:val="-2"/>
                <w:lang w:val="hr-HR"/>
              </w:rPr>
              <w:t>o</w:t>
            </w:r>
            <w:r w:rsidRPr="007514A7">
              <w:rPr>
                <w:rFonts w:eastAsia="Myriad Pro" w:cs="Myriad Pro"/>
                <w:color w:val="231F20"/>
                <w:lang w:val="hr-HR"/>
              </w:rPr>
              <w:t>zna</w:t>
            </w:r>
            <w:r w:rsidRPr="007514A7">
              <w:rPr>
                <w:rFonts w:eastAsia="Myriad Pro" w:cs="Myriad Pro"/>
                <w:color w:val="231F20"/>
                <w:spacing w:val="4"/>
                <w:lang w:val="hr-HR"/>
              </w:rPr>
              <w:t>k</w:t>
            </w:r>
            <w:r w:rsidRPr="007514A7">
              <w:rPr>
                <w:rFonts w:eastAsia="Myriad Pro" w:cs="Myriad Pro"/>
                <w:color w:val="231F20"/>
                <w:lang w:val="hr-HR"/>
              </w:rPr>
              <w:t>a iz Plana donošenja zakona, dru</w:t>
            </w:r>
            <w:r w:rsidRPr="007514A7">
              <w:rPr>
                <w:rFonts w:eastAsia="Myriad Pro" w:cs="Myriad Pro"/>
                <w:color w:val="231F20"/>
                <w:spacing w:val="-1"/>
                <w:lang w:val="hr-HR"/>
              </w:rPr>
              <w:t>g</w:t>
            </w:r>
            <w:r w:rsidRPr="007514A7">
              <w:rPr>
                <w:rFonts w:eastAsia="Myriad Pro" w:cs="Myriad Pro"/>
                <w:color w:val="231F20"/>
                <w:lang w:val="hr-HR"/>
              </w:rPr>
              <w:t>ih p</w:t>
            </w:r>
            <w:r w:rsidRPr="007514A7">
              <w:rPr>
                <w:rFonts w:eastAsia="Myriad Pro" w:cs="Myriad Pro"/>
                <w:color w:val="231F20"/>
                <w:spacing w:val="-2"/>
                <w:lang w:val="hr-HR"/>
              </w:rPr>
              <w:t>r</w:t>
            </w:r>
            <w:r w:rsidRPr="007514A7">
              <w:rPr>
                <w:rFonts w:eastAsia="Myriad Pro" w:cs="Myriad Pro"/>
                <w:color w:val="231F20"/>
                <w:lang w:val="hr-HR"/>
              </w:rPr>
              <w:t>opisa i a</w:t>
            </w:r>
            <w:r w:rsidRPr="007514A7">
              <w:rPr>
                <w:rFonts w:eastAsia="Myriad Pro" w:cs="Myriad Pro"/>
                <w:color w:val="231F20"/>
                <w:spacing w:val="4"/>
                <w:lang w:val="hr-HR"/>
              </w:rPr>
              <w:t>k</w:t>
            </w:r>
            <w:r w:rsidRPr="007514A7">
              <w:rPr>
                <w:rFonts w:eastAsia="Myriad Pro" w:cs="Myriad Pro"/>
                <w:color w:val="231F20"/>
                <w:lang w:val="hr-HR"/>
              </w:rPr>
              <w:t>ata obj</w:t>
            </w:r>
            <w:r w:rsidRPr="007514A7">
              <w:rPr>
                <w:rFonts w:eastAsia="Myriad Pro" w:cs="Myriad Pro"/>
                <w:color w:val="231F20"/>
                <w:spacing w:val="-2"/>
                <w:lang w:val="hr-HR"/>
              </w:rPr>
              <w:t>a</w:t>
            </w:r>
            <w:r w:rsidRPr="007514A7">
              <w:rPr>
                <w:rFonts w:eastAsia="Myriad Pro" w:cs="Myriad Pro"/>
                <w:color w:val="231F20"/>
                <w:lang w:val="hr-HR"/>
              </w:rPr>
              <w:t>vljenog na in</w:t>
            </w:r>
            <w:r w:rsidRPr="007514A7">
              <w:rPr>
                <w:rFonts w:eastAsia="Myriad Pro" w:cs="Myriad Pro"/>
                <w:color w:val="231F20"/>
                <w:spacing w:val="-1"/>
                <w:lang w:val="hr-HR"/>
              </w:rPr>
              <w:t>t</w:t>
            </w:r>
            <w:r w:rsidRPr="007514A7">
              <w:rPr>
                <w:rFonts w:eastAsia="Myriad Pro" w:cs="Myriad Pro"/>
                <w:color w:val="231F20"/>
                <w:lang w:val="hr-HR"/>
              </w:rPr>
              <w:t>ernets</w:t>
            </w:r>
            <w:r w:rsidRPr="007514A7">
              <w:rPr>
                <w:rFonts w:eastAsia="Myriad Pro" w:cs="Myriad Pro"/>
                <w:color w:val="231F20"/>
                <w:spacing w:val="4"/>
                <w:lang w:val="hr-HR"/>
              </w:rPr>
              <w:t>k</w:t>
            </w:r>
            <w:r w:rsidRPr="007514A7">
              <w:rPr>
                <w:rFonts w:eastAsia="Myriad Pro" w:cs="Myriad Pro"/>
                <w:color w:val="231F20"/>
                <w:lang w:val="hr-HR"/>
              </w:rPr>
              <w:t>im stranicama</w:t>
            </w:r>
            <w:r w:rsidRPr="007514A7">
              <w:rPr>
                <w:rFonts w:eastAsia="Myriad Pro" w:cs="Myriad Pro"/>
                <w:color w:val="231F20"/>
                <w:spacing w:val="-8"/>
                <w:lang w:val="hr-HR"/>
              </w:rPr>
              <w:t xml:space="preserve"> </w:t>
            </w:r>
            <w:r w:rsidR="00B2685E" w:rsidRPr="007514A7">
              <w:rPr>
                <w:rFonts w:eastAsia="Myriad Pro" w:cs="Myriad Pro"/>
                <w:color w:val="231F20"/>
                <w:lang w:val="hr-HR"/>
              </w:rPr>
              <w:t>Grada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3D2D015C" w14:textId="77777777" w:rsidR="001D7128" w:rsidRPr="007514A7" w:rsidRDefault="001D7128">
            <w:pPr>
              <w:rPr>
                <w:lang w:val="hr-HR"/>
              </w:rPr>
            </w:pPr>
          </w:p>
        </w:tc>
      </w:tr>
      <w:tr w:rsidR="001D7128" w:rsidRPr="007514A7" w14:paraId="2598BD1D" w14:textId="77777777" w:rsidTr="00CA42D6">
        <w:trPr>
          <w:trHeight w:hRule="exact" w:val="949"/>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66DB3519" w14:textId="77777777" w:rsidR="001D7128" w:rsidRPr="007514A7" w:rsidRDefault="001D7128">
            <w:pPr>
              <w:spacing w:before="3" w:after="0" w:line="120" w:lineRule="exact"/>
              <w:rPr>
                <w:sz w:val="12"/>
                <w:szCs w:val="12"/>
                <w:lang w:val="hr-HR"/>
              </w:rPr>
            </w:pPr>
          </w:p>
          <w:p w14:paraId="0290F9B2"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Naziv tijela nadležnog za izradu nac</w:t>
            </w:r>
            <w:r w:rsidRPr="007514A7">
              <w:rPr>
                <w:rFonts w:eastAsia="Myriad Pro" w:cs="Myriad Pro"/>
                <w:color w:val="231F20"/>
                <w:spacing w:val="5"/>
                <w:lang w:val="hr-HR"/>
              </w:rPr>
              <w:t>r</w:t>
            </w:r>
            <w:r w:rsidRPr="007514A7">
              <w:rPr>
                <w:rFonts w:eastAsia="Myriad Pro" w:cs="Myriad Pro"/>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0EC7E494" w14:textId="57A4019E" w:rsidR="001D7128" w:rsidRPr="007514A7" w:rsidRDefault="00517EB5" w:rsidP="00517EB5">
            <w:pPr>
              <w:jc w:val="both"/>
              <w:rPr>
                <w:lang w:val="hr-HR"/>
              </w:rPr>
            </w:pPr>
            <w:r w:rsidRPr="00517EB5">
              <w:rPr>
                <w:lang w:val="hr-HR"/>
              </w:rPr>
              <w:t>Regionalna energetska agencija sjeverozapadne Hrvatske i Grad Karlovac, Upravni odjel za prostorno uređenje i poslove provedbe dokumenata prostornog uređenja</w:t>
            </w:r>
          </w:p>
        </w:tc>
      </w:tr>
      <w:tr w:rsidR="001D7128" w:rsidRPr="007514A7" w14:paraId="4299179C" w14:textId="77777777" w:rsidTr="00451926">
        <w:trPr>
          <w:trHeight w:hRule="exact" w:val="1209"/>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6F9BC69E" w14:textId="77777777" w:rsidR="001D7128" w:rsidRPr="007514A7" w:rsidRDefault="00B13212">
            <w:pPr>
              <w:spacing w:before="37" w:after="0" w:line="260" w:lineRule="exact"/>
              <w:ind w:left="108" w:right="316"/>
              <w:rPr>
                <w:rFonts w:eastAsia="Myriad Pro" w:cs="Myriad Pro"/>
                <w:lang w:val="hr-HR"/>
              </w:rPr>
            </w:pPr>
            <w:r w:rsidRPr="007514A7">
              <w:rPr>
                <w:rFonts w:eastAsia="Myriad Pro" w:cs="Myriad Pro"/>
                <w:color w:val="231F20"/>
                <w:lang w:val="hr-HR"/>
              </w:rPr>
              <w:t>Koji su p</w:t>
            </w:r>
            <w:r w:rsidRPr="007514A7">
              <w:rPr>
                <w:rFonts w:eastAsia="Myriad Pro" w:cs="Myriad Pro"/>
                <w:color w:val="231F20"/>
                <w:spacing w:val="-2"/>
                <w:lang w:val="hr-HR"/>
              </w:rPr>
              <w:t>r</w:t>
            </w:r>
            <w:r w:rsidRPr="007514A7">
              <w:rPr>
                <w:rFonts w:eastAsia="Myriad Pro" w:cs="Myriad Pro"/>
                <w:color w:val="231F20"/>
                <w:lang w:val="hr-HR"/>
              </w:rPr>
              <w:t>edst</w:t>
            </w:r>
            <w:r w:rsidRPr="007514A7">
              <w:rPr>
                <w:rFonts w:eastAsia="Myriad Pro" w:cs="Myriad Pro"/>
                <w:color w:val="231F20"/>
                <w:spacing w:val="-2"/>
                <w:lang w:val="hr-HR"/>
              </w:rPr>
              <w:t>a</w:t>
            </w:r>
            <w:r w:rsidRPr="007514A7">
              <w:rPr>
                <w:rFonts w:eastAsia="Myriad Pro" w:cs="Myriad Pro"/>
                <w:color w:val="231F20"/>
                <w:lang w:val="hr-HR"/>
              </w:rPr>
              <w:t>vnici zain</w:t>
            </w:r>
            <w:r w:rsidRPr="007514A7">
              <w:rPr>
                <w:rFonts w:eastAsia="Myriad Pro" w:cs="Myriad Pro"/>
                <w:color w:val="231F20"/>
                <w:spacing w:val="-1"/>
                <w:lang w:val="hr-HR"/>
              </w:rPr>
              <w:t>t</w:t>
            </w:r>
            <w:r w:rsidRPr="007514A7">
              <w:rPr>
                <w:rFonts w:eastAsia="Myriad Pro" w:cs="Myriad Pro"/>
                <w:color w:val="231F20"/>
                <w:lang w:val="hr-HR"/>
              </w:rPr>
              <w:t>e</w:t>
            </w:r>
            <w:r w:rsidRPr="007514A7">
              <w:rPr>
                <w:rFonts w:eastAsia="Myriad Pro" w:cs="Myriad Pro"/>
                <w:color w:val="231F20"/>
                <w:spacing w:val="-2"/>
                <w:lang w:val="hr-HR"/>
              </w:rPr>
              <w:t>r</w:t>
            </w:r>
            <w:r w:rsidRPr="007514A7">
              <w:rPr>
                <w:rFonts w:eastAsia="Myriad Pro" w:cs="Myriad Pro"/>
                <w:color w:val="231F20"/>
                <w:lang w:val="hr-HR"/>
              </w:rPr>
              <w:t>esirane j</w:t>
            </w:r>
            <w:r w:rsidRPr="007514A7">
              <w:rPr>
                <w:rFonts w:eastAsia="Myriad Pro" w:cs="Myriad Pro"/>
                <w:color w:val="231F20"/>
                <w:spacing w:val="-2"/>
                <w:lang w:val="hr-HR"/>
              </w:rPr>
              <w:t>a</w:t>
            </w:r>
            <w:r w:rsidRPr="007514A7">
              <w:rPr>
                <w:rFonts w:eastAsia="Myriad Pro" w:cs="Myriad Pro"/>
                <w:color w:val="231F20"/>
                <w:lang w:val="hr-HR"/>
              </w:rPr>
              <w:t>vnosti bili u</w:t>
            </w:r>
            <w:r w:rsidRPr="007514A7">
              <w:rPr>
                <w:rFonts w:eastAsia="Myriad Pro" w:cs="Myriad Pro"/>
                <w:color w:val="231F20"/>
                <w:spacing w:val="4"/>
                <w:lang w:val="hr-HR"/>
              </w:rPr>
              <w:t>k</w:t>
            </w:r>
            <w:r w:rsidRPr="007514A7">
              <w:rPr>
                <w:rFonts w:eastAsia="Myriad Pro" w:cs="Myriad Pro"/>
                <w:color w:val="231F20"/>
                <w:lang w:val="hr-HR"/>
              </w:rPr>
              <w:t>lju</w:t>
            </w:r>
            <w:r w:rsidRPr="007514A7">
              <w:rPr>
                <w:rFonts w:eastAsia="Myriad Pro" w:cs="Myriad Pro"/>
                <w:color w:val="231F20"/>
                <w:spacing w:val="-1"/>
                <w:lang w:val="hr-HR"/>
              </w:rPr>
              <w:t>č</w:t>
            </w:r>
            <w:r w:rsidRPr="007514A7">
              <w:rPr>
                <w:rFonts w:eastAsia="Myriad Pro" w:cs="Myriad Pro"/>
                <w:color w:val="231F20"/>
                <w:lang w:val="hr-HR"/>
              </w:rPr>
              <w:t>eni u pos</w:t>
            </w:r>
            <w:r w:rsidR="00B2685E" w:rsidRPr="007514A7">
              <w:rPr>
                <w:rFonts w:eastAsia="Myriad Pro" w:cs="Myriad Pro"/>
                <w:color w:val="231F20"/>
                <w:lang w:val="hr-HR"/>
              </w:rPr>
              <w:t>tupak izrade odnosno</w:t>
            </w:r>
            <w:r w:rsidR="00B33DE8" w:rsidRPr="007514A7">
              <w:rPr>
                <w:rFonts w:eastAsia="Myriad Pro" w:cs="Myriad Pro"/>
                <w:color w:val="231F20"/>
                <w:lang w:val="hr-HR"/>
              </w:rPr>
              <w:t>/ili</w:t>
            </w:r>
            <w:r w:rsidR="00B2685E" w:rsidRPr="007514A7">
              <w:rPr>
                <w:rFonts w:eastAsia="Myriad Pro" w:cs="Myriad Pro"/>
                <w:color w:val="231F20"/>
                <w:lang w:val="hr-HR"/>
              </w:rPr>
              <w:t xml:space="preserve"> u rad stru</w:t>
            </w:r>
            <w:r w:rsidR="00B2685E" w:rsidRPr="007514A7">
              <w:rPr>
                <w:rFonts w:eastAsia="MS Gothic" w:cs="MS Gothic"/>
                <w:color w:val="231F20"/>
                <w:lang w:val="hr-HR"/>
              </w:rPr>
              <w:t>č</w:t>
            </w:r>
            <w:r w:rsidRPr="007514A7">
              <w:rPr>
                <w:rFonts w:eastAsia="Myriad Pro" w:cs="Myriad Pro"/>
                <w:color w:val="231F20"/>
                <w:lang w:val="hr-HR"/>
              </w:rPr>
              <w:t>ne radne skupine za izradu nac</w:t>
            </w:r>
            <w:r w:rsidRPr="007514A7">
              <w:rPr>
                <w:rFonts w:eastAsia="Myriad Pro" w:cs="Myriad Pro"/>
                <w:color w:val="231F20"/>
                <w:spacing w:val="5"/>
                <w:lang w:val="hr-HR"/>
              </w:rPr>
              <w:t>r</w:t>
            </w:r>
            <w:r w:rsidRPr="007514A7">
              <w:rPr>
                <w:rFonts w:eastAsia="Myriad Pro" w:cs="Myriad Pro"/>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20C67848" w14:textId="21CEC6E9" w:rsidR="004F1024" w:rsidRDefault="00451926" w:rsidP="004F1024">
            <w:pPr>
              <w:spacing w:after="0"/>
              <w:rPr>
                <w:lang w:val="hr-HR"/>
              </w:rPr>
            </w:pPr>
            <w:r>
              <w:rPr>
                <w:lang w:val="hr-HR"/>
              </w:rPr>
              <w:t>U srpnju 2021. je održana radionica</w:t>
            </w:r>
            <w:r w:rsidR="004F1024">
              <w:rPr>
                <w:lang w:val="hr-HR"/>
              </w:rPr>
              <w:t xml:space="preserve"> s upravnim odjelima grada, </w:t>
            </w:r>
            <w:r>
              <w:rPr>
                <w:lang w:val="hr-HR"/>
              </w:rPr>
              <w:t>j</w:t>
            </w:r>
            <w:r w:rsidR="004F1024">
              <w:rPr>
                <w:lang w:val="hr-HR"/>
              </w:rPr>
              <w:t>avnopravnim tijelima nadležnim za temu</w:t>
            </w:r>
            <w:r>
              <w:rPr>
                <w:lang w:val="hr-HR"/>
              </w:rPr>
              <w:t xml:space="preserve"> energetike i zaštite okoliša</w:t>
            </w:r>
            <w:r w:rsidR="004F1024">
              <w:rPr>
                <w:lang w:val="hr-HR"/>
              </w:rPr>
              <w:t>.</w:t>
            </w:r>
          </w:p>
          <w:p w14:paraId="461F875F" w14:textId="22356F46" w:rsidR="002D16D4" w:rsidRPr="007514A7" w:rsidRDefault="002D16D4" w:rsidP="00451926">
            <w:pPr>
              <w:rPr>
                <w:lang w:val="hr-HR"/>
              </w:rPr>
            </w:pPr>
          </w:p>
        </w:tc>
      </w:tr>
      <w:tr w:rsidR="001D7128" w:rsidRPr="007514A7" w14:paraId="2399FC4F" w14:textId="77777777" w:rsidTr="000809A2">
        <w:trPr>
          <w:trHeight w:hRule="exact" w:val="710"/>
        </w:trPr>
        <w:tc>
          <w:tcPr>
            <w:tcW w:w="3827" w:type="dxa"/>
            <w:vMerge w:val="restart"/>
            <w:tcBorders>
              <w:top w:val="single" w:sz="4" w:space="0" w:color="231F20"/>
              <w:left w:val="single" w:sz="4" w:space="0" w:color="231F20"/>
              <w:right w:val="single" w:sz="4" w:space="0" w:color="231F20"/>
            </w:tcBorders>
            <w:shd w:val="clear" w:color="auto" w:fill="DEDCEE"/>
          </w:tcPr>
          <w:p w14:paraId="062B9C2F" w14:textId="77777777" w:rsidR="001D7128" w:rsidRPr="007514A7" w:rsidRDefault="00B13212">
            <w:pPr>
              <w:spacing w:before="73" w:after="0" w:line="260" w:lineRule="exact"/>
              <w:ind w:left="108" w:right="1150"/>
              <w:rPr>
                <w:rFonts w:eastAsia="Myriad Pro" w:cs="Myriad Pro"/>
                <w:lang w:val="hr-HR"/>
              </w:rPr>
            </w:pPr>
            <w:r w:rsidRPr="007514A7">
              <w:rPr>
                <w:rFonts w:eastAsia="Myriad Pro" w:cs="Myriad Pro"/>
                <w:color w:val="231F20"/>
                <w:lang w:val="hr-HR"/>
              </w:rPr>
              <w:t>Je li nac</w:t>
            </w:r>
            <w:r w:rsidRPr="007514A7">
              <w:rPr>
                <w:rFonts w:eastAsia="Myriad Pro" w:cs="Myriad Pro"/>
                <w:color w:val="231F20"/>
                <w:spacing w:val="5"/>
                <w:lang w:val="hr-HR"/>
              </w:rPr>
              <w:t>r</w:t>
            </w:r>
            <w:r w:rsidRPr="007514A7">
              <w:rPr>
                <w:rFonts w:eastAsia="Myriad Pro" w:cs="Myriad Pro"/>
                <w:color w:val="231F20"/>
                <w:lang w:val="hr-HR"/>
              </w:rPr>
              <w:t>t bio obj</w:t>
            </w:r>
            <w:r w:rsidRPr="007514A7">
              <w:rPr>
                <w:rFonts w:eastAsia="Myriad Pro" w:cs="Myriad Pro"/>
                <w:color w:val="231F20"/>
                <w:spacing w:val="-2"/>
                <w:lang w:val="hr-HR"/>
              </w:rPr>
              <w:t>a</w:t>
            </w:r>
            <w:r w:rsidRPr="007514A7">
              <w:rPr>
                <w:rFonts w:eastAsia="Myriad Pro" w:cs="Myriad Pro"/>
                <w:color w:val="231F20"/>
                <w:lang w:val="hr-HR"/>
              </w:rPr>
              <w:t>vljen na in</w:t>
            </w:r>
            <w:r w:rsidRPr="007514A7">
              <w:rPr>
                <w:rFonts w:eastAsia="Myriad Pro" w:cs="Myriad Pro"/>
                <w:color w:val="231F20"/>
                <w:spacing w:val="-1"/>
                <w:lang w:val="hr-HR"/>
              </w:rPr>
              <w:t>t</w:t>
            </w:r>
            <w:r w:rsidRPr="007514A7">
              <w:rPr>
                <w:rFonts w:eastAsia="Myriad Pro" w:cs="Myriad Pro"/>
                <w:color w:val="231F20"/>
                <w:lang w:val="hr-HR"/>
              </w:rPr>
              <w:t>ernets</w:t>
            </w:r>
            <w:r w:rsidRPr="007514A7">
              <w:rPr>
                <w:rFonts w:eastAsia="Myriad Pro" w:cs="Myriad Pro"/>
                <w:color w:val="231F20"/>
                <w:spacing w:val="4"/>
                <w:lang w:val="hr-HR"/>
              </w:rPr>
              <w:t>k</w:t>
            </w:r>
            <w:r w:rsidRPr="007514A7">
              <w:rPr>
                <w:rFonts w:eastAsia="Myriad Pro" w:cs="Myriad Pro"/>
                <w:color w:val="231F20"/>
                <w:lang w:val="hr-HR"/>
              </w:rPr>
              <w:t>im stranicama ili</w:t>
            </w:r>
          </w:p>
          <w:p w14:paraId="521368C0" w14:textId="77777777" w:rsidR="001D7128" w:rsidRPr="007514A7" w:rsidRDefault="00B13212">
            <w:pPr>
              <w:spacing w:after="0" w:line="263" w:lineRule="exact"/>
              <w:ind w:left="108" w:right="922"/>
              <w:jc w:val="both"/>
              <w:rPr>
                <w:rFonts w:eastAsia="Myriad Pro" w:cs="Myriad Pro"/>
                <w:lang w:val="hr-HR"/>
              </w:rPr>
            </w:pPr>
            <w:r w:rsidRPr="007514A7">
              <w:rPr>
                <w:rFonts w:eastAsia="Myriad Pro" w:cs="Myriad Pro"/>
                <w:color w:val="231F20"/>
                <w:lang w:val="hr-HR"/>
              </w:rPr>
              <w:t>na dru</w:t>
            </w:r>
            <w:r w:rsidRPr="007514A7">
              <w:rPr>
                <w:rFonts w:eastAsia="Myriad Pro" w:cs="Myriad Pro"/>
                <w:color w:val="231F20"/>
                <w:spacing w:val="-1"/>
                <w:lang w:val="hr-HR"/>
              </w:rPr>
              <w:t>g</w:t>
            </w:r>
            <w:r w:rsidRPr="007514A7">
              <w:rPr>
                <w:rFonts w:eastAsia="Myriad Pro" w:cs="Myriad Pro"/>
                <w:color w:val="231F20"/>
                <w:lang w:val="hr-HR"/>
              </w:rPr>
              <w:t>i odg</w:t>
            </w:r>
            <w:r w:rsidRPr="007514A7">
              <w:rPr>
                <w:rFonts w:eastAsia="Myriad Pro" w:cs="Myriad Pro"/>
                <w:color w:val="231F20"/>
                <w:spacing w:val="-2"/>
                <w:lang w:val="hr-HR"/>
              </w:rPr>
              <w:t>o</w:t>
            </w:r>
            <w:r w:rsidRPr="007514A7">
              <w:rPr>
                <w:rFonts w:eastAsia="Myriad Pro" w:cs="Myriad Pro"/>
                <w:color w:val="231F20"/>
                <w:lang w:val="hr-HR"/>
              </w:rPr>
              <w:t>varajući način?</w:t>
            </w:r>
          </w:p>
          <w:p w14:paraId="4DA677FF" w14:textId="77777777" w:rsidR="001D7128" w:rsidRPr="007514A7" w:rsidRDefault="00B13212">
            <w:pPr>
              <w:spacing w:before="82" w:after="0" w:line="260" w:lineRule="exact"/>
              <w:ind w:left="108" w:right="229"/>
              <w:jc w:val="both"/>
              <w:rPr>
                <w:rFonts w:eastAsia="Myriad Pro" w:cs="Myriad Pro"/>
                <w:lang w:val="hr-HR"/>
              </w:rPr>
            </w:pPr>
            <w:r w:rsidRPr="007514A7">
              <w:rPr>
                <w:rFonts w:eastAsia="Myriad Pro" w:cs="Myriad Pro"/>
                <w:color w:val="231F20"/>
                <w:lang w:val="hr-HR"/>
              </w:rPr>
              <w:t xml:space="preserve">Ako jest, </w:t>
            </w:r>
            <w:r w:rsidRPr="007514A7">
              <w:rPr>
                <w:rFonts w:eastAsia="Myriad Pro" w:cs="Myriad Pro"/>
                <w:color w:val="231F20"/>
                <w:spacing w:val="4"/>
                <w:lang w:val="hr-HR"/>
              </w:rPr>
              <w:t>k</w:t>
            </w:r>
            <w:r w:rsidRPr="007514A7">
              <w:rPr>
                <w:rFonts w:eastAsia="Myriad Pro" w:cs="Myriad Pro"/>
                <w:color w:val="231F20"/>
                <w:lang w:val="hr-HR"/>
              </w:rPr>
              <w:t>ada je nac</w:t>
            </w:r>
            <w:r w:rsidRPr="007514A7">
              <w:rPr>
                <w:rFonts w:eastAsia="Myriad Pro" w:cs="Myriad Pro"/>
                <w:color w:val="231F20"/>
                <w:spacing w:val="5"/>
                <w:lang w:val="hr-HR"/>
              </w:rPr>
              <w:t>r</w:t>
            </w:r>
            <w:r w:rsidRPr="007514A7">
              <w:rPr>
                <w:rFonts w:eastAsia="Myriad Pro" w:cs="Myriad Pro"/>
                <w:color w:val="231F20"/>
                <w:lang w:val="hr-HR"/>
              </w:rPr>
              <w:t>t obj</w:t>
            </w:r>
            <w:r w:rsidRPr="007514A7">
              <w:rPr>
                <w:rFonts w:eastAsia="Myriad Pro" w:cs="Myriad Pro"/>
                <w:color w:val="231F20"/>
                <w:spacing w:val="-2"/>
                <w:lang w:val="hr-HR"/>
              </w:rPr>
              <w:t>a</w:t>
            </w:r>
            <w:r w:rsidRPr="007514A7">
              <w:rPr>
                <w:rFonts w:eastAsia="Myriad Pro" w:cs="Myriad Pro"/>
                <w:color w:val="231F20"/>
                <w:lang w:val="hr-HR"/>
              </w:rPr>
              <w:t>vljen, na kojoj in</w:t>
            </w:r>
            <w:r w:rsidRPr="007514A7">
              <w:rPr>
                <w:rFonts w:eastAsia="Myriad Pro" w:cs="Myriad Pro"/>
                <w:color w:val="231F20"/>
                <w:spacing w:val="-1"/>
                <w:lang w:val="hr-HR"/>
              </w:rPr>
              <w:t>t</w:t>
            </w:r>
            <w:r w:rsidRPr="007514A7">
              <w:rPr>
                <w:rFonts w:eastAsia="Myriad Pro" w:cs="Myriad Pro"/>
                <w:color w:val="231F20"/>
                <w:lang w:val="hr-HR"/>
              </w:rPr>
              <w:t>ernetskoj stranici i koliko je v</w:t>
            </w:r>
            <w:r w:rsidRPr="007514A7">
              <w:rPr>
                <w:rFonts w:eastAsia="Myriad Pro" w:cs="Myriad Pro"/>
                <w:color w:val="231F20"/>
                <w:spacing w:val="-2"/>
                <w:lang w:val="hr-HR"/>
              </w:rPr>
              <w:t>r</w:t>
            </w:r>
            <w:r w:rsidRPr="007514A7">
              <w:rPr>
                <w:rFonts w:eastAsia="Myriad Pro" w:cs="Myriad Pro"/>
                <w:color w:val="231F20"/>
                <w:lang w:val="hr-HR"/>
              </w:rPr>
              <w:t>emena ost</w:t>
            </w:r>
            <w:r w:rsidRPr="007514A7">
              <w:rPr>
                <w:rFonts w:eastAsia="Myriad Pro" w:cs="Myriad Pro"/>
                <w:color w:val="231F20"/>
                <w:spacing w:val="-2"/>
                <w:lang w:val="hr-HR"/>
              </w:rPr>
              <w:t>a</w:t>
            </w:r>
            <w:r w:rsidRPr="007514A7">
              <w:rPr>
                <w:rFonts w:eastAsia="Myriad Pro" w:cs="Myriad Pro"/>
                <w:color w:val="231F20"/>
                <w:lang w:val="hr-HR"/>
              </w:rPr>
              <w:t>vljeno za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anje?</w:t>
            </w:r>
          </w:p>
          <w:p w14:paraId="06566135" w14:textId="77777777" w:rsidR="001D7128" w:rsidRPr="007514A7" w:rsidRDefault="00B13212">
            <w:pPr>
              <w:spacing w:before="83" w:after="0" w:line="240" w:lineRule="auto"/>
              <w:ind w:left="108" w:right="2170"/>
              <w:jc w:val="both"/>
              <w:rPr>
                <w:rFonts w:eastAsia="Myriad Pro" w:cs="Myriad Pro"/>
                <w:lang w:val="hr-HR"/>
              </w:rPr>
            </w:pPr>
            <w:r w:rsidRPr="007514A7">
              <w:rPr>
                <w:rFonts w:eastAsia="Myriad Pro" w:cs="Myriad Pro"/>
                <w:color w:val="231F20"/>
                <w:lang w:val="hr-HR"/>
              </w:rPr>
              <w:t xml:space="preserve">Ako </w:t>
            </w:r>
            <w:proofErr w:type="spellStart"/>
            <w:r w:rsidRPr="007514A7">
              <w:rPr>
                <w:rFonts w:eastAsia="Myriad Pro" w:cs="Myriad Pro"/>
                <w:color w:val="231F20"/>
                <w:lang w:val="hr-HR"/>
              </w:rPr>
              <w:t>nij</w:t>
            </w:r>
            <w:r w:rsidRPr="007514A7">
              <w:rPr>
                <w:rFonts w:eastAsia="Myriad Pro" w:cs="Myriad Pro"/>
                <w:color w:val="231F20"/>
                <w:spacing w:val="-3"/>
                <w:lang w:val="hr-HR"/>
              </w:rPr>
              <w:t>e</w:t>
            </w:r>
            <w:r w:rsidR="00CA42D6" w:rsidRPr="007514A7">
              <w:rPr>
                <w:rFonts w:eastAsia="Myriad Pro" w:cs="Myriad Pro"/>
                <w:color w:val="231F20"/>
                <w:lang w:val="hr-HR"/>
              </w:rPr>
              <w:t>,</w:t>
            </w:r>
            <w:r w:rsidRPr="007514A7">
              <w:rPr>
                <w:rFonts w:eastAsia="Myriad Pro" w:cs="Myriad Pro"/>
                <w:color w:val="231F20"/>
                <w:lang w:val="hr-HR"/>
              </w:rPr>
              <w:t>zaš</w:t>
            </w:r>
            <w:r w:rsidRPr="007514A7">
              <w:rPr>
                <w:rFonts w:eastAsia="Myriad Pro" w:cs="Myriad Pro"/>
                <w:color w:val="231F20"/>
                <w:spacing w:val="-1"/>
                <w:lang w:val="hr-HR"/>
              </w:rPr>
              <w:t>t</w:t>
            </w:r>
            <w:r w:rsidRPr="007514A7">
              <w:rPr>
                <w:rFonts w:eastAsia="Myriad Pro" w:cs="Myriad Pro"/>
                <w:color w:val="231F20"/>
                <w:lang w:val="hr-HR"/>
              </w:rPr>
              <w:t>o</w:t>
            </w:r>
            <w:proofErr w:type="spellEnd"/>
            <w:r w:rsidRPr="007514A7">
              <w:rPr>
                <w:rFonts w:eastAsia="Myriad Pro" w:cs="Myriad Pro"/>
                <w:color w:val="231F20"/>
                <w:lang w:val="hr-HR"/>
              </w:rPr>
              <w:t>?</w:t>
            </w: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3ADBF37D" w14:textId="649A739F" w:rsidR="001D7128" w:rsidRPr="007514A7" w:rsidRDefault="005D72F3" w:rsidP="000809A2">
            <w:pPr>
              <w:rPr>
                <w:lang w:val="hr-HR"/>
              </w:rPr>
            </w:pPr>
            <w:r>
              <w:rPr>
                <w:lang w:val="hr-HR"/>
              </w:rPr>
              <w:t xml:space="preserve">  Da</w:t>
            </w: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2318D5F5" w14:textId="77777777" w:rsidR="001D7128" w:rsidRPr="000B4163" w:rsidRDefault="001D7128">
            <w:pPr>
              <w:spacing w:before="3" w:after="0" w:line="120" w:lineRule="exact"/>
              <w:rPr>
                <w:iCs/>
                <w:sz w:val="12"/>
                <w:szCs w:val="12"/>
                <w:lang w:val="hr-HR"/>
              </w:rPr>
            </w:pPr>
          </w:p>
          <w:p w14:paraId="0AD4DFCA" w14:textId="53712C62" w:rsidR="001D7128" w:rsidRPr="000B4163" w:rsidRDefault="005D72F3">
            <w:pPr>
              <w:spacing w:after="0" w:line="240" w:lineRule="auto"/>
              <w:ind w:left="108" w:right="-20"/>
              <w:rPr>
                <w:rFonts w:eastAsia="Myriad Pro" w:cs="Myriad Pro"/>
                <w:iCs/>
                <w:lang w:val="hr-HR"/>
              </w:rPr>
            </w:pPr>
            <w:r w:rsidRPr="000B4163">
              <w:rPr>
                <w:rFonts w:eastAsia="Myriad Pro" w:cs="Myriad Pro"/>
                <w:iCs/>
                <w:color w:val="231F20"/>
              </w:rPr>
              <w:t>www.karlovac.hr</w:t>
            </w:r>
          </w:p>
        </w:tc>
      </w:tr>
      <w:tr w:rsidR="001D7128" w:rsidRPr="007514A7" w14:paraId="56A57D85" w14:textId="77777777" w:rsidTr="00516F96">
        <w:trPr>
          <w:trHeight w:hRule="exact" w:val="860"/>
        </w:trPr>
        <w:tc>
          <w:tcPr>
            <w:tcW w:w="3827" w:type="dxa"/>
            <w:vMerge/>
            <w:tcBorders>
              <w:left w:val="single" w:sz="4" w:space="0" w:color="231F20"/>
              <w:right w:val="single" w:sz="4" w:space="0" w:color="231F20"/>
            </w:tcBorders>
            <w:shd w:val="clear" w:color="auto" w:fill="DEDCEE"/>
          </w:tcPr>
          <w:p w14:paraId="657137D1" w14:textId="77777777" w:rsidR="001D7128" w:rsidRPr="007514A7" w:rsidRDefault="001D7128">
            <w:pPr>
              <w:rPr>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437733F4" w14:textId="356824A2" w:rsidR="001D7128" w:rsidRPr="007514A7" w:rsidRDefault="000B4163">
            <w:pPr>
              <w:rPr>
                <w:lang w:val="hr-HR"/>
              </w:rPr>
            </w:pPr>
            <w:r>
              <w:rPr>
                <w:lang w:val="hr-HR"/>
              </w:rPr>
              <w:t xml:space="preserve"> Od 15.3.2022. do 14.4.2022.</w:t>
            </w: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4F10E81D" w14:textId="3735D64E" w:rsidR="001D7128" w:rsidRPr="000B4163" w:rsidRDefault="005D72F3">
            <w:pPr>
              <w:spacing w:before="37" w:after="0" w:line="260" w:lineRule="exact"/>
              <w:ind w:left="108" w:right="508"/>
              <w:rPr>
                <w:rFonts w:eastAsia="Myriad Pro" w:cs="Myriad Pro"/>
                <w:iCs/>
                <w:lang w:val="hr-HR"/>
              </w:rPr>
            </w:pPr>
            <w:r w:rsidRPr="000B4163">
              <w:rPr>
                <w:rFonts w:eastAsia="Myriad Pro" w:cs="Myriad Pro"/>
                <w:iCs/>
                <w:color w:val="231F20"/>
              </w:rPr>
              <w:t>www.karlovac.hr</w:t>
            </w:r>
          </w:p>
        </w:tc>
      </w:tr>
      <w:tr w:rsidR="001D7128" w:rsidRPr="007514A7" w14:paraId="0873B9F4" w14:textId="77777777" w:rsidTr="00867931">
        <w:trPr>
          <w:trHeight w:hRule="exact" w:val="1748"/>
        </w:trPr>
        <w:tc>
          <w:tcPr>
            <w:tcW w:w="3827" w:type="dxa"/>
            <w:vMerge/>
            <w:tcBorders>
              <w:left w:val="single" w:sz="4" w:space="0" w:color="231F20"/>
              <w:right w:val="single" w:sz="4" w:space="0" w:color="231F20"/>
            </w:tcBorders>
            <w:shd w:val="clear" w:color="auto" w:fill="DEDCEE"/>
          </w:tcPr>
          <w:p w14:paraId="25CD411E" w14:textId="77777777" w:rsidR="001D7128" w:rsidRPr="007514A7" w:rsidRDefault="001D7128">
            <w:pPr>
              <w:rPr>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4E47E1A8" w14:textId="77777777" w:rsidR="001D7128" w:rsidRPr="007514A7" w:rsidRDefault="001D7128">
            <w:pPr>
              <w:rPr>
                <w:lang w:val="hr-HR"/>
              </w:rPr>
            </w:pP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36A8C7FE" w14:textId="77777777" w:rsidR="001D7128" w:rsidRPr="007514A7" w:rsidRDefault="001D7128">
            <w:pPr>
              <w:spacing w:before="3" w:after="0" w:line="120" w:lineRule="exact"/>
              <w:rPr>
                <w:sz w:val="12"/>
                <w:szCs w:val="12"/>
                <w:lang w:val="hr-HR"/>
              </w:rPr>
            </w:pPr>
          </w:p>
          <w:p w14:paraId="040D2C93" w14:textId="1D6CDF0B" w:rsidR="001D7128" w:rsidRPr="007514A7" w:rsidRDefault="001D7128">
            <w:pPr>
              <w:spacing w:after="0" w:line="240" w:lineRule="auto"/>
              <w:ind w:left="108" w:right="-20"/>
              <w:rPr>
                <w:rFonts w:eastAsia="Myriad Pro" w:cs="Myriad Pro"/>
                <w:lang w:val="hr-HR"/>
              </w:rPr>
            </w:pPr>
          </w:p>
        </w:tc>
      </w:tr>
      <w:tr w:rsidR="001D7128" w:rsidRPr="007514A7" w14:paraId="35FB6E4F" w14:textId="77777777" w:rsidTr="005D6AEE">
        <w:trPr>
          <w:trHeight w:hRule="exact" w:val="80"/>
        </w:trPr>
        <w:tc>
          <w:tcPr>
            <w:tcW w:w="3827" w:type="dxa"/>
            <w:vMerge/>
            <w:tcBorders>
              <w:left w:val="single" w:sz="4" w:space="0" w:color="231F20"/>
              <w:bottom w:val="single" w:sz="4" w:space="0" w:color="231F20"/>
              <w:right w:val="single" w:sz="4" w:space="0" w:color="231F20"/>
            </w:tcBorders>
            <w:shd w:val="clear" w:color="auto" w:fill="DEDCEE"/>
          </w:tcPr>
          <w:p w14:paraId="5AB1821B" w14:textId="77777777" w:rsidR="001D7128" w:rsidRPr="007514A7" w:rsidRDefault="001D7128">
            <w:pPr>
              <w:rPr>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6D9360D" w14:textId="77777777" w:rsidR="001D7128" w:rsidRPr="007514A7" w:rsidRDefault="001D7128">
            <w:pPr>
              <w:rPr>
                <w:lang w:val="hr-HR"/>
              </w:rPr>
            </w:pPr>
          </w:p>
        </w:tc>
      </w:tr>
      <w:tr w:rsidR="001D7128" w:rsidRPr="007514A7" w14:paraId="08EE7A8E" w14:textId="77777777" w:rsidTr="00867931">
        <w:trPr>
          <w:trHeight w:hRule="exact" w:val="1065"/>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09C3A186" w14:textId="77777777" w:rsidR="001D7128" w:rsidRPr="007514A7" w:rsidRDefault="00B13212">
            <w:pPr>
              <w:spacing w:before="37" w:after="0" w:line="260" w:lineRule="exact"/>
              <w:ind w:left="108" w:right="422"/>
              <w:rPr>
                <w:rFonts w:eastAsia="Myriad Pro" w:cs="Myriad Pro"/>
                <w:lang w:val="hr-HR"/>
              </w:rPr>
            </w:pPr>
            <w:r w:rsidRPr="007514A7">
              <w:rPr>
                <w:rFonts w:eastAsia="Myriad Pro" w:cs="Myriad Pro"/>
                <w:color w:val="231F20"/>
                <w:lang w:val="hr-HR"/>
              </w:rPr>
              <w:t>Koji su predstavnici zainteresirane javnosti dostavili sv</w:t>
            </w:r>
            <w:r w:rsidR="00B2685E" w:rsidRPr="007514A7">
              <w:rPr>
                <w:rFonts w:eastAsia="Myriad Pro" w:cs="Myriad Pro"/>
                <w:color w:val="231F20"/>
                <w:lang w:val="hr-HR"/>
              </w:rPr>
              <w:t>oja o</w:t>
            </w:r>
            <w:r w:rsidR="00B2685E" w:rsidRPr="007514A7">
              <w:rPr>
                <w:rFonts w:eastAsia="MS Gothic" w:cs="MS Gothic"/>
                <w:color w:val="231F20"/>
                <w:lang w:val="hr-HR"/>
              </w:rPr>
              <w:t>č</w:t>
            </w:r>
            <w:r w:rsidRPr="007514A7">
              <w:rPr>
                <w:rFonts w:eastAsia="Myriad Pro" w:cs="Myriad Pro"/>
                <w:color w:val="231F20"/>
                <w:lang w:val="hr-HR"/>
              </w:rPr>
              <w:t>itovanja?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05B1D8FE" w14:textId="77777777" w:rsidR="000B4163" w:rsidRPr="000B4163" w:rsidRDefault="000B4163" w:rsidP="000B4163">
            <w:pPr>
              <w:rPr>
                <w:lang w:val="it-IT"/>
              </w:rPr>
            </w:pPr>
            <w:proofErr w:type="spellStart"/>
            <w:r w:rsidRPr="000B4163">
              <w:rPr>
                <w:lang w:val="it-IT"/>
              </w:rPr>
              <w:t>Politička</w:t>
            </w:r>
            <w:proofErr w:type="spellEnd"/>
            <w:r w:rsidRPr="000B4163">
              <w:rPr>
                <w:lang w:val="it-IT"/>
              </w:rPr>
              <w:t xml:space="preserve"> </w:t>
            </w:r>
            <w:proofErr w:type="spellStart"/>
            <w:r w:rsidRPr="000B4163">
              <w:rPr>
                <w:lang w:val="it-IT"/>
              </w:rPr>
              <w:t>platforma</w:t>
            </w:r>
            <w:proofErr w:type="spellEnd"/>
            <w:r w:rsidRPr="000B4163">
              <w:rPr>
                <w:lang w:val="it-IT"/>
              </w:rPr>
              <w:t xml:space="preserve"> </w:t>
            </w:r>
            <w:proofErr w:type="spellStart"/>
            <w:proofErr w:type="gramStart"/>
            <w:r w:rsidRPr="000B4163">
              <w:rPr>
                <w:lang w:val="it-IT"/>
              </w:rPr>
              <w:t>Možemo</w:t>
            </w:r>
            <w:proofErr w:type="spellEnd"/>
            <w:r w:rsidRPr="000B4163">
              <w:rPr>
                <w:lang w:val="it-IT"/>
              </w:rPr>
              <w:t>!,</w:t>
            </w:r>
            <w:proofErr w:type="gramEnd"/>
            <w:r w:rsidRPr="000B4163">
              <w:rPr>
                <w:lang w:val="it-IT"/>
              </w:rPr>
              <w:t xml:space="preserve"> Karlovac</w:t>
            </w:r>
          </w:p>
          <w:p w14:paraId="31183679" w14:textId="77777777" w:rsidR="001D7128" w:rsidRPr="007514A7" w:rsidRDefault="001D7128">
            <w:pPr>
              <w:rPr>
                <w:lang w:val="hr-HR"/>
              </w:rPr>
            </w:pPr>
          </w:p>
        </w:tc>
      </w:tr>
      <w:tr w:rsidR="001D7128" w:rsidRPr="007514A7" w14:paraId="5ED2F808" w14:textId="77777777" w:rsidTr="00493F97">
        <w:trPr>
          <w:trHeight w:hRule="exact" w:val="15457"/>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3FE04EB6" w14:textId="77777777" w:rsidR="001D7128" w:rsidRPr="007514A7" w:rsidRDefault="00B13212">
            <w:pPr>
              <w:spacing w:before="37" w:after="0" w:line="260" w:lineRule="exact"/>
              <w:ind w:left="108" w:right="573"/>
              <w:rPr>
                <w:rFonts w:eastAsia="Myriad Pro" w:cs="Myriad Pro"/>
                <w:lang w:val="hr-HR"/>
              </w:rPr>
            </w:pPr>
            <w:r w:rsidRPr="007514A7">
              <w:rPr>
                <w:rFonts w:eastAsia="Myriad Pro" w:cs="Myriad Pro"/>
                <w:color w:val="231F20"/>
                <w:spacing w:val="3"/>
                <w:lang w:val="hr-HR"/>
              </w:rPr>
              <w:lastRenderedPageBreak/>
              <w:t>R</w:t>
            </w:r>
            <w:r w:rsidRPr="007514A7">
              <w:rPr>
                <w:rFonts w:eastAsia="Myriad Pro" w:cs="Myriad Pro"/>
                <w:color w:val="231F20"/>
                <w:lang w:val="hr-HR"/>
              </w:rPr>
              <w:t>azl</w:t>
            </w:r>
            <w:r w:rsidRPr="007514A7">
              <w:rPr>
                <w:rFonts w:eastAsia="Myriad Pro" w:cs="Myriad Pro"/>
                <w:color w:val="231F20"/>
                <w:spacing w:val="-2"/>
                <w:lang w:val="hr-HR"/>
              </w:rPr>
              <w:t>o</w:t>
            </w:r>
            <w:r w:rsidRPr="007514A7">
              <w:rPr>
                <w:rFonts w:eastAsia="Myriad Pro" w:cs="Myriad Pro"/>
                <w:color w:val="231F20"/>
                <w:lang w:val="hr-HR"/>
              </w:rPr>
              <w:t>zi nepri</w:t>
            </w:r>
            <w:r w:rsidRPr="007514A7">
              <w:rPr>
                <w:rFonts w:eastAsia="Myriad Pro" w:cs="Myriad Pro"/>
                <w:color w:val="231F20"/>
                <w:spacing w:val="-3"/>
                <w:lang w:val="hr-HR"/>
              </w:rPr>
              <w:t>h</w:t>
            </w:r>
            <w:r w:rsidRPr="007514A7">
              <w:rPr>
                <w:rFonts w:eastAsia="Myriad Pro" w:cs="Myriad Pro"/>
                <w:color w:val="231F20"/>
                <w:lang w:val="hr-HR"/>
              </w:rPr>
              <w:t>vaćanja pojedinih primjedbi zain</w:t>
            </w:r>
            <w:r w:rsidRPr="007514A7">
              <w:rPr>
                <w:rFonts w:eastAsia="Myriad Pro" w:cs="Myriad Pro"/>
                <w:color w:val="231F20"/>
                <w:spacing w:val="-1"/>
                <w:lang w:val="hr-HR"/>
              </w:rPr>
              <w:t>t</w:t>
            </w:r>
            <w:r w:rsidRPr="007514A7">
              <w:rPr>
                <w:rFonts w:eastAsia="Myriad Pro" w:cs="Myriad Pro"/>
                <w:color w:val="231F20"/>
                <w:lang w:val="hr-HR"/>
              </w:rPr>
              <w:t>e</w:t>
            </w:r>
            <w:r w:rsidRPr="007514A7">
              <w:rPr>
                <w:rFonts w:eastAsia="Myriad Pro" w:cs="Myriad Pro"/>
                <w:color w:val="231F20"/>
                <w:spacing w:val="-2"/>
                <w:lang w:val="hr-HR"/>
              </w:rPr>
              <w:t>r</w:t>
            </w:r>
            <w:r w:rsidRPr="007514A7">
              <w:rPr>
                <w:rFonts w:eastAsia="Myriad Pro" w:cs="Myriad Pro"/>
                <w:color w:val="231F20"/>
                <w:lang w:val="hr-HR"/>
              </w:rPr>
              <w:t>esirane j</w:t>
            </w:r>
            <w:r w:rsidRPr="007514A7">
              <w:rPr>
                <w:rFonts w:eastAsia="Myriad Pro" w:cs="Myriad Pro"/>
                <w:color w:val="231F20"/>
                <w:spacing w:val="-2"/>
                <w:lang w:val="hr-HR"/>
              </w:rPr>
              <w:t>a</w:t>
            </w:r>
            <w:r w:rsidRPr="007514A7">
              <w:rPr>
                <w:rFonts w:eastAsia="Myriad Pro" w:cs="Myriad Pro"/>
                <w:color w:val="231F20"/>
                <w:lang w:val="hr-HR"/>
              </w:rPr>
              <w:t>vnosti na od</w:t>
            </w:r>
            <w:r w:rsidRPr="007514A7">
              <w:rPr>
                <w:rFonts w:eastAsia="Myriad Pro" w:cs="Myriad Pro"/>
                <w:color w:val="231F20"/>
                <w:spacing w:val="-2"/>
                <w:lang w:val="hr-HR"/>
              </w:rPr>
              <w:t>r</w:t>
            </w:r>
            <w:r w:rsidRPr="007514A7">
              <w:rPr>
                <w:rFonts w:eastAsia="Myriad Pro" w:cs="Myriad Pro"/>
                <w:color w:val="231F20"/>
                <w:lang w:val="hr-HR"/>
              </w:rPr>
              <w:t>eđene od</w:t>
            </w:r>
            <w:r w:rsidRPr="007514A7">
              <w:rPr>
                <w:rFonts w:eastAsia="Myriad Pro" w:cs="Myriad Pro"/>
                <w:color w:val="231F20"/>
                <w:spacing w:val="-2"/>
                <w:lang w:val="hr-HR"/>
              </w:rPr>
              <w:t>r</w:t>
            </w:r>
            <w:r w:rsidRPr="007514A7">
              <w:rPr>
                <w:rFonts w:eastAsia="Myriad Pro" w:cs="Myriad Pro"/>
                <w:color w:val="231F20"/>
                <w:lang w:val="hr-HR"/>
              </w:rPr>
              <w:t>edbe nac</w:t>
            </w:r>
            <w:r w:rsidRPr="007514A7">
              <w:rPr>
                <w:rFonts w:eastAsia="Myriad Pro" w:cs="Myriad Pro"/>
                <w:color w:val="231F20"/>
                <w:spacing w:val="5"/>
                <w:lang w:val="hr-HR"/>
              </w:rPr>
              <w:t>r</w:t>
            </w:r>
            <w:r w:rsidRPr="007514A7">
              <w:rPr>
                <w:rFonts w:eastAsia="Myriad Pro" w:cs="Myriad Pro"/>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2FEC75C4" w14:textId="77777777" w:rsidR="00493F97" w:rsidRPr="00493F97" w:rsidRDefault="00493F97" w:rsidP="00AC34D5">
            <w:pPr>
              <w:spacing w:after="0"/>
              <w:jc w:val="both"/>
              <w:rPr>
                <w:b/>
                <w:bCs/>
                <w:lang w:val="hr-HR"/>
              </w:rPr>
            </w:pPr>
            <w:r w:rsidRPr="00493F97">
              <w:rPr>
                <w:b/>
                <w:bCs/>
                <w:lang w:val="hr-HR"/>
              </w:rPr>
              <w:t>Komentar 1:</w:t>
            </w:r>
          </w:p>
          <w:p w14:paraId="1D6EA06B" w14:textId="77777777" w:rsidR="00493F97" w:rsidRPr="00493F97" w:rsidRDefault="00493F97" w:rsidP="00AC34D5">
            <w:pPr>
              <w:spacing w:after="0"/>
              <w:jc w:val="both"/>
              <w:rPr>
                <w:lang w:val="hr-HR"/>
              </w:rPr>
            </w:pPr>
            <w:r w:rsidRPr="00493F97">
              <w:rPr>
                <w:lang w:val="hr-HR"/>
              </w:rPr>
              <w:t>Smatramo da gradske službe trebaju svojim primjerom pokazati i dokazati spremnost osobnog i javnog zalaganja za energetski održivi razvitak i prilagodbu klimatskim promjenama na malim stvarima, kao što je mobilnost (a u stvari se radi o ogromnom utjecaju na klimatske promjene). Zalažemo se za potpuni prelazak na električna vozila - manji broj elektro automobila, više bicikala i elektro bicikala za grad i gradske tvrtke i ustanove.</w:t>
            </w:r>
          </w:p>
          <w:p w14:paraId="380CF5E6" w14:textId="77777777" w:rsidR="00493F97" w:rsidRPr="00493F97" w:rsidRDefault="00493F97" w:rsidP="00AC34D5">
            <w:pPr>
              <w:jc w:val="both"/>
              <w:rPr>
                <w:lang w:val="hr-HR"/>
              </w:rPr>
            </w:pPr>
            <w:r w:rsidRPr="00493F97">
              <w:rPr>
                <w:lang w:val="hr-HR"/>
              </w:rPr>
              <w:t>S obzirom na poziciju Poglavarstva u samoj gradskoj Zvijezdi, ukidanje parkirališta za aute na važnom gradskom trgu - Strossmayerovom, te formiranje parkinga za bicikle, koja ujedno zauzimaju i manju površinu, bio bi veliki zaokret i stvarni dokaz brige gradskih vlasti za klimu i okoliš, te smanjivanje emisije CO2. Obavezu ukidanja parkirališta na Trgu predlažemo ugraditi i u GUP, kada već nije ispoštovan UPU Zvijezda.</w:t>
            </w:r>
          </w:p>
          <w:p w14:paraId="644247E7" w14:textId="77777777" w:rsidR="00493F97" w:rsidRPr="00493F97" w:rsidRDefault="00493F97" w:rsidP="00AC34D5">
            <w:pPr>
              <w:spacing w:after="0"/>
              <w:jc w:val="both"/>
              <w:rPr>
                <w:lang w:val="hr-HR"/>
              </w:rPr>
            </w:pPr>
            <w:r w:rsidRPr="00493F97">
              <w:rPr>
                <w:b/>
                <w:bCs/>
                <w:lang w:val="hr-HR"/>
              </w:rPr>
              <w:t>Odgovor:</w:t>
            </w:r>
          </w:p>
          <w:p w14:paraId="5DCD5078" w14:textId="77777777" w:rsidR="00493F97" w:rsidRPr="00493F97" w:rsidRDefault="00493F97" w:rsidP="00AC34D5">
            <w:pPr>
              <w:jc w:val="both"/>
              <w:rPr>
                <w:lang w:val="hr-HR"/>
              </w:rPr>
            </w:pPr>
            <w:r w:rsidRPr="00493F97">
              <w:rPr>
                <w:lang w:val="hr-HR"/>
              </w:rPr>
              <w:t xml:space="preserve">Komentar je primljen na znanje. Ukidanje parkirališta na području Zvijezde u ovom trenutku nije izgledno dok nisu </w:t>
            </w:r>
            <w:r w:rsidRPr="00493F97">
              <w:rPr>
                <w:lang w:val="hr-HR"/>
              </w:rPr>
              <w:t>izgrađen</w:t>
            </w:r>
            <w:r w:rsidRPr="00493F97">
              <w:rPr>
                <w:lang w:val="hr-HR"/>
              </w:rPr>
              <w:t>i</w:t>
            </w:r>
            <w:r w:rsidRPr="00493F97">
              <w:rPr>
                <w:lang w:val="hr-HR"/>
              </w:rPr>
              <w:t xml:space="preserve"> </w:t>
            </w:r>
            <w:r w:rsidRPr="00493F97">
              <w:rPr>
                <w:lang w:val="hr-HR"/>
              </w:rPr>
              <w:t>zamjenski parkirališno garažni prostori kako je planirano u UPU Zvijezda. Urbanistička i prometna rješenja UPU Zvijezda su usklađena s GUP-om kao planom višeg reda, pa se svi zahvati u obuhvatu navedenog plana moraju projektno razrađivati u skladu s UPU.</w:t>
            </w:r>
            <w:bookmarkStart w:id="0" w:name="_Hlk101435185"/>
            <w:r w:rsidRPr="00493F97">
              <w:rPr>
                <w:lang w:val="hr-HR"/>
              </w:rPr>
              <w:t xml:space="preserve"> Vezano uz poticanje uporabe bicikala, napominjemo kako je u Smjernicama za integraciju održivog energetskog planiranja i prilagodbe klimatskim promjenama (SECAP) u Generalni urbanistički plan (GUP) grada Karlovca, poglavlje 8., mjera 1 – Izvedba biciklističke infrastrukture (pa tako i parkirališta za bicikle koji spadaju u nju) jako afirmirana. Također, već sada je </w:t>
            </w:r>
            <w:bookmarkStart w:id="1" w:name="_Hlk103777675"/>
            <w:r w:rsidRPr="00493F97">
              <w:rPr>
                <w:lang w:val="hr-HR"/>
              </w:rPr>
              <w:t>provedbenim odredbama GUP-a, temeljem općih uvjeta, omogućen razvoj biciklističke infrastrukture razradom pojedinačnih projekata uz posebne uvjete nadležnog javnopravnog tijela za promet</w:t>
            </w:r>
            <w:bookmarkEnd w:id="1"/>
            <w:r w:rsidRPr="00493F97">
              <w:rPr>
                <w:lang w:val="hr-HR"/>
              </w:rPr>
              <w:t xml:space="preserve">. </w:t>
            </w:r>
            <w:bookmarkEnd w:id="0"/>
          </w:p>
          <w:p w14:paraId="00CA6E80" w14:textId="77777777" w:rsidR="00493F97" w:rsidRPr="00493F97" w:rsidRDefault="00493F97" w:rsidP="00AC34D5">
            <w:pPr>
              <w:spacing w:after="0"/>
              <w:jc w:val="both"/>
              <w:rPr>
                <w:b/>
                <w:bCs/>
                <w:lang w:val="hr-HR"/>
              </w:rPr>
            </w:pPr>
            <w:r w:rsidRPr="00493F97">
              <w:rPr>
                <w:b/>
                <w:bCs/>
                <w:lang w:val="hr-HR"/>
              </w:rPr>
              <w:t>Komentar 2:</w:t>
            </w:r>
          </w:p>
          <w:p w14:paraId="70FDD1AE" w14:textId="77777777" w:rsidR="00493F97" w:rsidRPr="00493F97" w:rsidRDefault="00493F97" w:rsidP="00AC34D5">
            <w:pPr>
              <w:jc w:val="both"/>
              <w:rPr>
                <w:lang w:val="hr-HR"/>
              </w:rPr>
            </w:pPr>
            <w:r w:rsidRPr="00493F97">
              <w:rPr>
                <w:lang w:val="hr-HR"/>
              </w:rPr>
              <w:t xml:space="preserve">Pohvaljujemo brigu za okoliš promjenom žarulja javne rasvjete u LED rasvjetu, no smatramo da se to ne provodi dovoljno žustrim tempom. Također skrećemo pažnju i na nerazumljivo veliku jakost reflektora pomoćnih terena stadiona </w:t>
            </w:r>
            <w:proofErr w:type="spellStart"/>
            <w:r w:rsidRPr="00493F97">
              <w:rPr>
                <w:lang w:val="hr-HR"/>
              </w:rPr>
              <w:t>Čavlek</w:t>
            </w:r>
            <w:proofErr w:type="spellEnd"/>
            <w:r w:rsidRPr="00493F97">
              <w:rPr>
                <w:lang w:val="hr-HR"/>
              </w:rPr>
              <w:t>, te njihovu uperenost izvan terena, što je neugodno za šetače, ali i za životinjski svijet koji obitava uz Koranu.</w:t>
            </w:r>
          </w:p>
          <w:p w14:paraId="5461EE5B" w14:textId="77777777" w:rsidR="00493F97" w:rsidRPr="00493F97" w:rsidRDefault="00493F97" w:rsidP="00AC34D5">
            <w:pPr>
              <w:spacing w:after="0"/>
              <w:jc w:val="both"/>
              <w:rPr>
                <w:lang w:val="hr-HR"/>
              </w:rPr>
            </w:pPr>
            <w:r w:rsidRPr="00493F97">
              <w:rPr>
                <w:b/>
                <w:bCs/>
                <w:lang w:val="hr-HR"/>
              </w:rPr>
              <w:t>Odgovor:</w:t>
            </w:r>
          </w:p>
          <w:p w14:paraId="4C01FEE3" w14:textId="77777777" w:rsidR="00493F97" w:rsidRPr="00493F97" w:rsidRDefault="00493F97" w:rsidP="00AC34D5">
            <w:pPr>
              <w:jc w:val="both"/>
              <w:rPr>
                <w:lang w:val="hr-HR"/>
              </w:rPr>
            </w:pPr>
            <w:r w:rsidRPr="00493F97">
              <w:rPr>
                <w:lang w:val="hr-HR"/>
              </w:rPr>
              <w:t xml:space="preserve">Komentar je primljen na znanje. Snaga reflektora i javne rasvjete te dinamika zamjene postojećih žarulja novima nije predmet razrade prostornih planova  pa tako nije obrađena niti ovim Smjernicama. </w:t>
            </w:r>
          </w:p>
          <w:p w14:paraId="1B386DA4" w14:textId="77777777" w:rsidR="001D7128" w:rsidRPr="007514A7" w:rsidRDefault="001D7128">
            <w:pPr>
              <w:rPr>
                <w:lang w:val="hr-HR"/>
              </w:rPr>
            </w:pPr>
          </w:p>
        </w:tc>
      </w:tr>
      <w:tr w:rsidR="00033302" w:rsidRPr="007514A7" w14:paraId="5B955FD8" w14:textId="77777777" w:rsidTr="00D97458">
        <w:trPr>
          <w:trHeight w:hRule="exact" w:val="1517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A877F7C" w14:textId="77777777" w:rsidR="00033302" w:rsidRPr="007514A7" w:rsidRDefault="00033302">
            <w:pPr>
              <w:spacing w:before="3" w:after="0" w:line="120" w:lineRule="exact"/>
              <w:rPr>
                <w:sz w:val="12"/>
                <w:szCs w:val="12"/>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2EA9B748" w14:textId="23AC9ED2" w:rsidR="00033302" w:rsidRPr="00033302" w:rsidRDefault="00033302" w:rsidP="00033302">
            <w:pPr>
              <w:spacing w:after="0"/>
              <w:rPr>
                <w:b/>
                <w:bCs/>
                <w:lang w:val="hr-HR"/>
              </w:rPr>
            </w:pPr>
            <w:r w:rsidRPr="00033302">
              <w:rPr>
                <w:b/>
                <w:bCs/>
                <w:lang w:val="hr-HR"/>
              </w:rPr>
              <w:t>Komentar</w:t>
            </w:r>
            <w:r w:rsidR="00AC34D5">
              <w:rPr>
                <w:b/>
                <w:bCs/>
                <w:lang w:val="hr-HR"/>
              </w:rPr>
              <w:t xml:space="preserve"> </w:t>
            </w:r>
            <w:r w:rsidRPr="00033302">
              <w:rPr>
                <w:b/>
                <w:bCs/>
                <w:lang w:val="hr-HR"/>
              </w:rPr>
              <w:t>3:</w:t>
            </w:r>
          </w:p>
          <w:p w14:paraId="3FE92344" w14:textId="77777777" w:rsidR="00033302" w:rsidRPr="00033302" w:rsidRDefault="00033302" w:rsidP="00D97458">
            <w:pPr>
              <w:jc w:val="both"/>
              <w:rPr>
                <w:lang w:val="hr-HR"/>
              </w:rPr>
            </w:pPr>
            <w:r w:rsidRPr="00033302">
              <w:rPr>
                <w:lang w:val="hr-HR"/>
              </w:rPr>
              <w:t>Iako je Grad u nekim svojim zgradama proveo mjere poboljšanja energetske učinkovitosti, to je vrlo mali udio u ukupnom utjecaju na smanjenje emisije CO2.</w:t>
            </w:r>
          </w:p>
          <w:p w14:paraId="6DFAC6EF" w14:textId="77777777" w:rsidR="00033302" w:rsidRPr="00033302" w:rsidRDefault="00033302" w:rsidP="00D97458">
            <w:pPr>
              <w:jc w:val="both"/>
              <w:rPr>
                <w:lang w:val="hr-HR"/>
              </w:rPr>
            </w:pPr>
            <w:r w:rsidRPr="00033302">
              <w:rPr>
                <w:lang w:val="hr-HR"/>
              </w:rPr>
              <w:t>Osiromašeno stanovništvo nije često u mogućnosti samo uložiti u energetsku obnovu svojih zgrada, Grad bi trebao iznaći sredstva i načina da pomogne višestambenim zgradama u energetskoj obnovi, posebno što je državno financiranje u tom smislu potpuno zakazalo, a sadašnji natječaj sufinanciranja ne nudi veliki optimizam.</w:t>
            </w:r>
          </w:p>
          <w:p w14:paraId="48AEB9DB" w14:textId="77777777" w:rsidR="00033302" w:rsidRPr="00033302" w:rsidRDefault="00033302" w:rsidP="00D97458">
            <w:pPr>
              <w:spacing w:after="0"/>
              <w:jc w:val="both"/>
              <w:rPr>
                <w:lang w:val="hr-HR"/>
              </w:rPr>
            </w:pPr>
            <w:r w:rsidRPr="00033302">
              <w:rPr>
                <w:b/>
                <w:bCs/>
                <w:lang w:val="hr-HR"/>
              </w:rPr>
              <w:t>Odgovor:</w:t>
            </w:r>
          </w:p>
          <w:p w14:paraId="2A46B363" w14:textId="77777777" w:rsidR="00AC34D5" w:rsidRPr="00D97458" w:rsidRDefault="00033302" w:rsidP="00D97458">
            <w:pPr>
              <w:jc w:val="both"/>
              <w:rPr>
                <w:lang w:val="hr-HR"/>
              </w:rPr>
            </w:pPr>
            <w:r w:rsidRPr="00033302">
              <w:rPr>
                <w:lang w:val="hr-HR"/>
              </w:rPr>
              <w:t>Mehanizmi sufinanciranja energetske obnove zgrada nisu predmet razrade prostornih planova pa tako niti ovih Smjernica</w:t>
            </w:r>
            <w:r w:rsidR="00AC34D5" w:rsidRPr="00D97458">
              <w:rPr>
                <w:lang w:val="hr-HR"/>
              </w:rPr>
              <w:t>.</w:t>
            </w:r>
          </w:p>
          <w:p w14:paraId="2E9E2B00" w14:textId="55B53484" w:rsidR="00AC34D5" w:rsidRPr="00AC34D5" w:rsidRDefault="00AC34D5" w:rsidP="00D97458">
            <w:pPr>
              <w:spacing w:after="0"/>
              <w:jc w:val="both"/>
              <w:rPr>
                <w:lang w:val="hr-HR"/>
              </w:rPr>
            </w:pPr>
            <w:r w:rsidRPr="00AC34D5">
              <w:rPr>
                <w:b/>
                <w:bCs/>
                <w:lang w:val="hr-HR"/>
              </w:rPr>
              <w:t>Komentar</w:t>
            </w:r>
            <w:r w:rsidRPr="00D97458">
              <w:rPr>
                <w:b/>
                <w:bCs/>
                <w:lang w:val="hr-HR"/>
              </w:rPr>
              <w:t xml:space="preserve"> </w:t>
            </w:r>
            <w:r w:rsidRPr="00AC34D5">
              <w:rPr>
                <w:b/>
                <w:bCs/>
                <w:lang w:val="hr-HR"/>
              </w:rPr>
              <w:t>4:</w:t>
            </w:r>
          </w:p>
          <w:p w14:paraId="04E46E0E" w14:textId="77777777" w:rsidR="00AC34D5" w:rsidRPr="00AC34D5" w:rsidRDefault="00AC34D5" w:rsidP="00D97458">
            <w:pPr>
              <w:jc w:val="both"/>
              <w:rPr>
                <w:lang w:val="hr-HR"/>
              </w:rPr>
            </w:pPr>
            <w:r w:rsidRPr="00AC34D5">
              <w:rPr>
                <w:lang w:val="hr-HR"/>
              </w:rPr>
              <w:t>Na nekoliko mjesta se u dokumentu ne povezuje sa vanjskom referencom, npr. str 11, 15</w:t>
            </w:r>
          </w:p>
          <w:p w14:paraId="4A5EB466" w14:textId="77777777" w:rsidR="00AC34D5" w:rsidRPr="00AC34D5" w:rsidRDefault="00AC34D5" w:rsidP="00D97458">
            <w:pPr>
              <w:spacing w:after="0"/>
              <w:jc w:val="both"/>
              <w:rPr>
                <w:b/>
                <w:bCs/>
                <w:lang w:val="hr-HR"/>
              </w:rPr>
            </w:pPr>
            <w:r w:rsidRPr="00AC34D5">
              <w:rPr>
                <w:b/>
                <w:bCs/>
                <w:lang w:val="hr-HR"/>
              </w:rPr>
              <w:t>Odgovor:</w:t>
            </w:r>
          </w:p>
          <w:p w14:paraId="2E3B986E" w14:textId="77777777" w:rsidR="00AC34D5" w:rsidRPr="00AC34D5" w:rsidRDefault="00AC34D5" w:rsidP="00D97458">
            <w:pPr>
              <w:jc w:val="both"/>
              <w:rPr>
                <w:lang w:val="hr-HR"/>
              </w:rPr>
            </w:pPr>
            <w:r w:rsidRPr="00AC34D5">
              <w:rPr>
                <w:lang w:val="hr-HR"/>
              </w:rPr>
              <w:t>Zahvaljujemo se na komentaru,  uočene greške bit će ispravljene.</w:t>
            </w:r>
          </w:p>
          <w:p w14:paraId="3F53729A" w14:textId="3055A339" w:rsidR="00AC34D5" w:rsidRPr="00AC34D5" w:rsidRDefault="00AC34D5" w:rsidP="00D97458">
            <w:pPr>
              <w:spacing w:after="0"/>
              <w:jc w:val="both"/>
              <w:rPr>
                <w:b/>
                <w:bCs/>
                <w:lang w:val="hr-HR"/>
              </w:rPr>
            </w:pPr>
            <w:r w:rsidRPr="00AC34D5">
              <w:rPr>
                <w:b/>
                <w:bCs/>
                <w:lang w:val="hr-HR"/>
              </w:rPr>
              <w:t>Komentar</w:t>
            </w:r>
            <w:r w:rsidRPr="00D97458">
              <w:rPr>
                <w:b/>
                <w:bCs/>
                <w:lang w:val="hr-HR"/>
              </w:rPr>
              <w:t xml:space="preserve"> </w:t>
            </w:r>
            <w:r w:rsidRPr="00AC34D5">
              <w:rPr>
                <w:b/>
                <w:bCs/>
                <w:lang w:val="hr-HR"/>
              </w:rPr>
              <w:t>5:</w:t>
            </w:r>
          </w:p>
          <w:p w14:paraId="7F605216" w14:textId="77777777" w:rsidR="00AC34D5" w:rsidRPr="00AC34D5" w:rsidRDefault="00AC34D5" w:rsidP="00D97458">
            <w:pPr>
              <w:jc w:val="both"/>
              <w:rPr>
                <w:lang w:val="hr-HR"/>
              </w:rPr>
            </w:pPr>
            <w:r w:rsidRPr="00AC34D5">
              <w:rPr>
                <w:lang w:val="hr-HR"/>
              </w:rPr>
              <w:t>Kartu energetsko-klimatskih zona unutar GUP-a nije jednostavno iščitati, približno se razaznaju granice pojedinih zona, te je komentiranje ili eventualno predlaganje neke promjene otežano.</w:t>
            </w:r>
          </w:p>
          <w:p w14:paraId="2D3A1586" w14:textId="77777777" w:rsidR="00AC34D5" w:rsidRPr="00AC34D5" w:rsidRDefault="00AC34D5" w:rsidP="00D97458">
            <w:pPr>
              <w:spacing w:after="0"/>
              <w:jc w:val="both"/>
              <w:rPr>
                <w:b/>
                <w:bCs/>
                <w:lang w:val="hr-HR"/>
              </w:rPr>
            </w:pPr>
            <w:r w:rsidRPr="00AC34D5">
              <w:rPr>
                <w:b/>
                <w:bCs/>
                <w:lang w:val="hr-HR"/>
              </w:rPr>
              <w:t>Odgovor:</w:t>
            </w:r>
          </w:p>
          <w:p w14:paraId="721CEA49" w14:textId="39898C8E" w:rsidR="00033302" w:rsidRPr="00033302" w:rsidRDefault="00AC34D5" w:rsidP="00D97458">
            <w:pPr>
              <w:jc w:val="both"/>
              <w:rPr>
                <w:lang w:val="hr-HR"/>
              </w:rPr>
            </w:pPr>
            <w:r w:rsidRPr="00AC34D5">
              <w:rPr>
                <w:lang w:val="hr-HR"/>
              </w:rPr>
              <w:t>Karta energetsko-klimatskih zona izrađena je na podlozi kartografskih prikaza i Pravilnikom</w:t>
            </w:r>
            <w:r w:rsidRPr="00AC34D5">
              <w:rPr>
                <w:lang w:val="en-GB"/>
              </w:rPr>
              <w:t xml:space="preserve"> o </w:t>
            </w:r>
            <w:proofErr w:type="spellStart"/>
            <w:r w:rsidRPr="00AC34D5">
              <w:rPr>
                <w:lang w:val="en-GB"/>
              </w:rPr>
              <w:t>sadržaju</w:t>
            </w:r>
            <w:proofErr w:type="spellEnd"/>
            <w:r w:rsidRPr="00AC34D5">
              <w:rPr>
                <w:lang w:val="en-GB"/>
              </w:rPr>
              <w:t xml:space="preserve">, </w:t>
            </w:r>
            <w:proofErr w:type="spellStart"/>
            <w:r w:rsidRPr="00AC34D5">
              <w:rPr>
                <w:lang w:val="en-GB"/>
              </w:rPr>
              <w:t>mjerilima</w:t>
            </w:r>
            <w:proofErr w:type="spellEnd"/>
            <w:r w:rsidRPr="00AC34D5">
              <w:rPr>
                <w:lang w:val="en-GB"/>
              </w:rPr>
              <w:t xml:space="preserve"> </w:t>
            </w:r>
            <w:proofErr w:type="spellStart"/>
            <w:r w:rsidRPr="00AC34D5">
              <w:rPr>
                <w:lang w:val="en-GB"/>
              </w:rPr>
              <w:t>kartografskih</w:t>
            </w:r>
            <w:proofErr w:type="spellEnd"/>
            <w:r w:rsidRPr="00AC34D5">
              <w:rPr>
                <w:lang w:val="en-GB"/>
              </w:rPr>
              <w:t xml:space="preserve"> </w:t>
            </w:r>
            <w:proofErr w:type="spellStart"/>
            <w:r w:rsidRPr="00AC34D5">
              <w:rPr>
                <w:lang w:val="en-GB"/>
              </w:rPr>
              <w:t>prikaza</w:t>
            </w:r>
            <w:proofErr w:type="spellEnd"/>
            <w:r w:rsidRPr="00AC34D5">
              <w:rPr>
                <w:lang w:val="en-GB"/>
              </w:rPr>
              <w:t xml:space="preserve">, </w:t>
            </w:r>
            <w:proofErr w:type="spellStart"/>
            <w:r w:rsidRPr="00AC34D5">
              <w:rPr>
                <w:lang w:val="en-GB"/>
              </w:rPr>
              <w:t>obveznim</w:t>
            </w:r>
            <w:proofErr w:type="spellEnd"/>
            <w:r w:rsidRPr="00AC34D5">
              <w:rPr>
                <w:lang w:val="en-GB"/>
              </w:rPr>
              <w:t xml:space="preserve"> </w:t>
            </w:r>
            <w:proofErr w:type="spellStart"/>
            <w:r w:rsidRPr="00AC34D5">
              <w:rPr>
                <w:lang w:val="en-GB"/>
              </w:rPr>
              <w:t>prostornim</w:t>
            </w:r>
            <w:proofErr w:type="spellEnd"/>
            <w:r w:rsidRPr="00AC34D5">
              <w:rPr>
                <w:lang w:val="en-GB"/>
              </w:rPr>
              <w:t xml:space="preserve"> </w:t>
            </w:r>
            <w:proofErr w:type="spellStart"/>
            <w:r w:rsidRPr="00AC34D5">
              <w:rPr>
                <w:lang w:val="en-GB"/>
              </w:rPr>
              <w:t>pokazateljima</w:t>
            </w:r>
            <w:proofErr w:type="spellEnd"/>
            <w:r w:rsidRPr="00AC34D5">
              <w:rPr>
                <w:lang w:val="en-GB"/>
              </w:rPr>
              <w:t xml:space="preserve"> i </w:t>
            </w:r>
            <w:proofErr w:type="spellStart"/>
            <w:r w:rsidRPr="00AC34D5">
              <w:rPr>
                <w:lang w:val="en-GB"/>
              </w:rPr>
              <w:t>standardu</w:t>
            </w:r>
            <w:proofErr w:type="spellEnd"/>
            <w:r w:rsidRPr="00AC34D5">
              <w:rPr>
                <w:lang w:val="en-GB"/>
              </w:rPr>
              <w:t xml:space="preserve"> </w:t>
            </w:r>
            <w:proofErr w:type="spellStart"/>
            <w:r w:rsidRPr="00AC34D5">
              <w:rPr>
                <w:lang w:val="en-GB"/>
              </w:rPr>
              <w:t>elaborata</w:t>
            </w:r>
            <w:proofErr w:type="spellEnd"/>
            <w:r w:rsidRPr="00AC34D5">
              <w:rPr>
                <w:lang w:val="en-GB"/>
              </w:rPr>
              <w:t xml:space="preserve"> </w:t>
            </w:r>
            <w:proofErr w:type="spellStart"/>
            <w:r w:rsidRPr="00AC34D5">
              <w:rPr>
                <w:lang w:val="en-GB"/>
              </w:rPr>
              <w:t>prostornih</w:t>
            </w:r>
            <w:proofErr w:type="spellEnd"/>
            <w:r w:rsidRPr="00AC34D5">
              <w:rPr>
                <w:lang w:val="en-GB"/>
              </w:rPr>
              <w:t xml:space="preserve"> </w:t>
            </w:r>
            <w:proofErr w:type="spellStart"/>
            <w:r w:rsidRPr="00AC34D5">
              <w:rPr>
                <w:lang w:val="en-GB"/>
              </w:rPr>
              <w:t>planova</w:t>
            </w:r>
            <w:proofErr w:type="spellEnd"/>
            <w:r w:rsidRPr="00AC34D5">
              <w:rPr>
                <w:lang w:val="hr-HR"/>
              </w:rPr>
              <w:t xml:space="preserve"> (NN br. </w:t>
            </w:r>
            <w:hyperlink r:id="rId7" w:tooltip="Pravilnik o sadržaju, mjerilima kartografskih prikaza, obveznim prostornim pokazateljima i standardu elaborata prostornih planova" w:history="1">
              <w:r w:rsidRPr="00AC34D5">
                <w:rPr>
                  <w:rStyle w:val="Hiperveza"/>
                  <w:color w:val="auto"/>
                  <w:u w:val="none"/>
                  <w:lang w:val="en-GB"/>
                </w:rPr>
                <w:t>106/98</w:t>
              </w:r>
            </w:hyperlink>
            <w:r w:rsidRPr="00AC34D5">
              <w:rPr>
                <w:lang w:val="en-GB"/>
              </w:rPr>
              <w:t xml:space="preserve">, </w:t>
            </w:r>
            <w:hyperlink r:id="rId8" w:tooltip="Pravilnik o izmjenama i dopunama Pravilnika o sadržaju, mjerilima kartografskih prikaza, obveznim prostornim pokazateljima i standardu elaborata prostornih planova" w:history="1">
              <w:r w:rsidRPr="00AC34D5">
                <w:rPr>
                  <w:rStyle w:val="Hiperveza"/>
                  <w:color w:val="auto"/>
                  <w:u w:val="none"/>
                  <w:lang w:val="en-GB"/>
                </w:rPr>
                <w:t>39/04</w:t>
              </w:r>
            </w:hyperlink>
            <w:r w:rsidRPr="00AC34D5">
              <w:rPr>
                <w:lang w:val="en-GB"/>
              </w:rPr>
              <w:t xml:space="preserve">, </w:t>
            </w:r>
            <w:hyperlink r:id="rId9" w:tooltip="Ispravak Pravilnika o izmjenama i dopunama Pravilnika o sadržaju, mjerilima kartografskih prikaza, obveznim prostornim pokazateljima i standardu elaborata prostornih planova" w:history="1">
              <w:r w:rsidRPr="00AC34D5">
                <w:rPr>
                  <w:rStyle w:val="Hiperveza"/>
                  <w:color w:val="auto"/>
                  <w:u w:val="none"/>
                  <w:lang w:val="en-GB"/>
                </w:rPr>
                <w:t>45/2004</w:t>
              </w:r>
            </w:hyperlink>
            <w:r w:rsidRPr="00AC34D5">
              <w:rPr>
                <w:lang w:val="en-GB"/>
              </w:rPr>
              <w:t xml:space="preserve">, </w:t>
            </w:r>
            <w:hyperlink r:id="rId10" w:tooltip="Pravilnik o dopunama Pravilnika o sadržaju, mjerilima kartografskih prikaza, obveznim prostornim pokazateljima i standardu elaborata prostornih planova" w:history="1">
              <w:r w:rsidRPr="00AC34D5">
                <w:rPr>
                  <w:rStyle w:val="Hiperveza"/>
                  <w:color w:val="auto"/>
                  <w:u w:val="none"/>
                  <w:lang w:val="en-GB"/>
                </w:rPr>
                <w:t>163/04</w:t>
              </w:r>
            </w:hyperlink>
            <w:r w:rsidRPr="00AC34D5">
              <w:rPr>
                <w:lang w:val="en-GB"/>
              </w:rPr>
              <w:t xml:space="preserve">, </w:t>
            </w:r>
            <w:hyperlink r:id="rId11" w:tooltip="Zakon o prostornom uređenju i gradnji" w:history="1">
              <w:r w:rsidRPr="00AC34D5">
                <w:rPr>
                  <w:rStyle w:val="Hiperveza"/>
                  <w:color w:val="auto"/>
                  <w:u w:val="none"/>
                  <w:lang w:val="en-GB"/>
                </w:rPr>
                <w:t>76/07</w:t>
              </w:r>
            </w:hyperlink>
            <w:r w:rsidRPr="00AC34D5">
              <w:rPr>
                <w:lang w:val="en-GB"/>
              </w:rPr>
              <w:t xml:space="preserve">, </w:t>
            </w:r>
            <w:hyperlink r:id="rId12" w:tooltip="Pravilnik o općinama koje mogu donijeti prostorni plan uređenja općine smanjenog sadržaja i sadržaju, mjerilima kartografskih prikaza i obveznim prilozima toga plana" w:history="1">
              <w:r w:rsidRPr="00AC34D5">
                <w:rPr>
                  <w:rStyle w:val="Hiperveza"/>
                  <w:color w:val="auto"/>
                  <w:u w:val="none"/>
                  <w:lang w:val="en-GB"/>
                </w:rPr>
                <w:t>135/10</w:t>
              </w:r>
            </w:hyperlink>
            <w:r w:rsidRPr="00AC34D5">
              <w:rPr>
                <w:lang w:val="en-GB"/>
              </w:rPr>
              <w:t xml:space="preserve">, </w:t>
            </w:r>
            <w:hyperlink r:id="rId13" w:tooltip="Pravilnik o sadržaju, mjerilima kartografskih prikaza, obveznim prostornim pokazateljima, standardu elaborata i obveznih priloga prostornih planova" w:history="1">
              <w:r w:rsidRPr="00AC34D5">
                <w:rPr>
                  <w:rStyle w:val="Hiperveza"/>
                  <w:color w:val="auto"/>
                  <w:u w:val="none"/>
                  <w:lang w:val="en-GB"/>
                </w:rPr>
                <w:t>148/10</w:t>
              </w:r>
            </w:hyperlink>
            <w:r w:rsidRPr="00AC34D5">
              <w:rPr>
                <w:lang w:val="en-GB"/>
              </w:rPr>
              <w:t xml:space="preserve">, </w:t>
            </w:r>
            <w:hyperlink r:id="rId14" w:tooltip="Zakon o prostornom uređenju" w:history="1">
              <w:r w:rsidRPr="00AC34D5">
                <w:rPr>
                  <w:rStyle w:val="Hiperveza"/>
                  <w:color w:val="auto"/>
                  <w:u w:val="none"/>
                  <w:lang w:val="en-GB"/>
                </w:rPr>
                <w:t>153/13</w:t>
              </w:r>
            </w:hyperlink>
            <w:r w:rsidRPr="00D97458">
              <w:rPr>
                <w:lang w:val="hr-HR"/>
              </w:rPr>
              <w:t>)</w:t>
            </w:r>
            <w:r w:rsidRPr="00AC34D5">
              <w:rPr>
                <w:lang w:val="hr-HR"/>
              </w:rPr>
              <w:t xml:space="preserve"> propisane podloge koja je sastavni dio važećeg GUP-a. U tom smislu smatramo da je čitljiva u jednakoj mjeri  kao i kartografski prikazi GUP-a. Napravljeni su i prikazi pojedinačnih („1 na 1“) preklopa predloženih energetsko-klimatskih zona s kartografskim prikazima GUP-a (namjena, zaštita, energetika i dr.), upravo kako bi se naglasila ideja korespondiranja i preklapanja energetsko-klimatskog zoniranja s ostalim zoniranjem (namjena, zaštita, energetika, obveze izrade planova nižeg reda i dr.) te kako bi se naručitelju i izrađivaču IV. Izmjena i dopuna GUP-a te ostalim dionicima uključenim u proces dao bolji uvid. Bitno je naglasiti da je zoniranje kroz Smjernice načelno predloženo, te se očekuje da će izrađivač izmjena i dopuna GUP-a, u toku izrade modificirati i prilagođavati ovako predloženo zoniranje ostalim ulaznim podacima, smjernicama i ciljevima relevantnim za izmjene i dopune GUP-a, a sve u skladu s protokolom izrade plana i </w:t>
            </w:r>
            <w:bookmarkStart w:id="2" w:name="_Hlk103944778"/>
            <w:r w:rsidRPr="00AC34D5">
              <w:rPr>
                <w:lang w:val="hr-HR"/>
              </w:rPr>
              <w:t>gore navedenim Pravilnikom.</w:t>
            </w:r>
            <w:r w:rsidRPr="00AC34D5">
              <w:rPr>
                <w:lang w:val="en-GB"/>
              </w:rPr>
              <w:t xml:space="preserve"> </w:t>
            </w:r>
            <w:bookmarkEnd w:id="2"/>
          </w:p>
          <w:p w14:paraId="7B328140" w14:textId="77777777" w:rsidR="00033302" w:rsidRDefault="00033302">
            <w:pPr>
              <w:rPr>
                <w:lang w:val="hr-HR"/>
              </w:rPr>
            </w:pPr>
          </w:p>
        </w:tc>
      </w:tr>
      <w:tr w:rsidR="00D97458" w:rsidRPr="007514A7" w14:paraId="1CC9E7F9" w14:textId="77777777" w:rsidTr="00D97458">
        <w:trPr>
          <w:trHeight w:hRule="exact" w:val="15315"/>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6CB7119F" w14:textId="77777777" w:rsidR="00D97458" w:rsidRPr="007514A7" w:rsidRDefault="00D97458">
            <w:pPr>
              <w:spacing w:before="3" w:after="0" w:line="120" w:lineRule="exact"/>
              <w:rPr>
                <w:sz w:val="12"/>
                <w:szCs w:val="12"/>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18F1DCE6" w14:textId="77777777" w:rsidR="00D97458" w:rsidRPr="00D97458" w:rsidRDefault="00D97458" w:rsidP="00D97458">
            <w:pPr>
              <w:spacing w:after="0"/>
              <w:jc w:val="both"/>
              <w:rPr>
                <w:b/>
                <w:bCs/>
                <w:lang w:val="hr-HR"/>
              </w:rPr>
            </w:pPr>
            <w:r w:rsidRPr="00D97458">
              <w:rPr>
                <w:b/>
                <w:bCs/>
                <w:lang w:val="hr-HR"/>
              </w:rPr>
              <w:t>Komentar 6.1.:</w:t>
            </w:r>
          </w:p>
          <w:p w14:paraId="11B42C2A" w14:textId="77777777" w:rsidR="00D97458" w:rsidRPr="00D97458" w:rsidRDefault="00D97458" w:rsidP="00D97458">
            <w:pPr>
              <w:jc w:val="both"/>
              <w:rPr>
                <w:lang w:val="hr-HR"/>
              </w:rPr>
            </w:pPr>
            <w:r w:rsidRPr="00D97458">
              <w:rPr>
                <w:lang w:val="hr-HR"/>
              </w:rPr>
              <w:t>Smatramo nužnim i predlažemo da se izvedba elemenata biciklističke infrastrukture planira ne samo u prometnim koridorima, nego i kao zaseban biciklističko-pješački koridor koji ne mora biti vezan uz koridore koji su namijenjeni motornim vozilima.</w:t>
            </w:r>
          </w:p>
          <w:p w14:paraId="480EFB1C" w14:textId="77777777" w:rsidR="00D97458" w:rsidRPr="00D97458" w:rsidRDefault="00D97458" w:rsidP="00D97458">
            <w:pPr>
              <w:spacing w:after="0"/>
              <w:jc w:val="both"/>
              <w:rPr>
                <w:lang w:val="hr-HR"/>
              </w:rPr>
            </w:pPr>
            <w:r w:rsidRPr="00D97458">
              <w:rPr>
                <w:lang w:val="hr-HR"/>
              </w:rPr>
              <w:t>Objašnjenje:</w:t>
            </w:r>
          </w:p>
          <w:p w14:paraId="01C42F54" w14:textId="77777777" w:rsidR="00D97458" w:rsidRPr="00D97458" w:rsidRDefault="00D97458" w:rsidP="00D97458">
            <w:pPr>
              <w:jc w:val="both"/>
              <w:rPr>
                <w:lang w:val="hr-HR"/>
              </w:rPr>
            </w:pPr>
            <w:r w:rsidRPr="00D97458">
              <w:rPr>
                <w:lang w:val="hr-HR"/>
              </w:rPr>
              <w:t>Biciklistička magistrala, kojom bi se povezalo rubne dijelove grada međusobno i sa centralnim sadržajima, te poslovnim zonama, ne bi se vezala isključivo za prometne koridore namijenjene motornim vozilima, već kao samostalni prometni koridor namijenjen biciklistima i pješacima koji zaobilazi sam grad nasipima, poljima, okolnim šumama…. te se povezuje sa biciklističkim magistralama izvan granica grada, sa županijskom bike infrastrukturom.</w:t>
            </w:r>
          </w:p>
          <w:p w14:paraId="5E5847EF" w14:textId="77777777" w:rsidR="00D97458" w:rsidRPr="00D97458" w:rsidRDefault="00D97458" w:rsidP="00D97458">
            <w:pPr>
              <w:spacing w:after="0"/>
              <w:jc w:val="both"/>
              <w:rPr>
                <w:b/>
                <w:bCs/>
                <w:lang w:val="hr-HR"/>
              </w:rPr>
            </w:pPr>
            <w:r w:rsidRPr="00D97458">
              <w:rPr>
                <w:b/>
                <w:bCs/>
                <w:lang w:val="hr-HR"/>
              </w:rPr>
              <w:t>Odgovor:</w:t>
            </w:r>
          </w:p>
          <w:p w14:paraId="7BCC9249" w14:textId="77777777" w:rsidR="00D97458" w:rsidRPr="00D97458" w:rsidRDefault="00D97458" w:rsidP="00D97458">
            <w:pPr>
              <w:jc w:val="both"/>
              <w:rPr>
                <w:lang w:val="hr-HR"/>
              </w:rPr>
            </w:pPr>
            <w:r w:rsidRPr="00D97458">
              <w:rPr>
                <w:lang w:val="hr-HR"/>
              </w:rPr>
              <w:t>Napominjemo kako je u Smjernicama za integraciju održivog energetskog planiranja i prilagodbe klimatskim promjenama (SECAP) u Generalni urbanistički plan (GUP) grada Karlovca, poglavlje 8., mjera 1 – Izvedba biciklističke infrastrukture jako afirmirana (</w:t>
            </w:r>
            <w:r w:rsidRPr="00D97458">
              <w:rPr>
                <w:i/>
                <w:iCs/>
                <w:lang w:val="hr-HR"/>
              </w:rPr>
              <w:t>“Izmjenama i dopunama GUP-a se omogućuje izvedba elemenata biciklističke infrastrukture u svim prometnim koridorima, na površinama svih namjena odnosno svih građevnih čestica</w:t>
            </w:r>
            <w:r w:rsidRPr="00D97458">
              <w:rPr>
                <w:lang w:val="hr-HR"/>
              </w:rPr>
              <w:t xml:space="preserve">”). Komentar o biciklističkoj magistrali je primljen na znanje i bit će razmotren u postupku izrade IV. Izmjena i dopuna GUP-a. Međutim, treba napomenuti da je izgradnja samostalnih prometnih koridora namijenjenih biciklistima i pješacima moguća već sada temeljem provedbenih odredbi GUP-a koje određuju opće uvjete za razvoj biciklističke infrastrukture kroz razradu pojedinačnih projekata uz posebne uvjete nadležnog javnopravnog tijela za promet. </w:t>
            </w:r>
          </w:p>
          <w:p w14:paraId="2895EBF5" w14:textId="77777777" w:rsidR="00D97458" w:rsidRPr="00D97458" w:rsidRDefault="00D97458" w:rsidP="00D97458">
            <w:pPr>
              <w:spacing w:after="0"/>
              <w:jc w:val="both"/>
              <w:rPr>
                <w:lang w:val="hr-HR"/>
              </w:rPr>
            </w:pPr>
            <w:r w:rsidRPr="00D97458">
              <w:rPr>
                <w:b/>
                <w:bCs/>
                <w:lang w:val="hr-HR"/>
              </w:rPr>
              <w:t>Komentar 6.2.:</w:t>
            </w:r>
          </w:p>
          <w:p w14:paraId="1A89E1C2" w14:textId="1AF4E03C" w:rsidR="00D97458" w:rsidRPr="00D97458" w:rsidRDefault="00D97458" w:rsidP="00D97458">
            <w:pPr>
              <w:jc w:val="both"/>
              <w:rPr>
                <w:lang w:val="hr-HR"/>
              </w:rPr>
            </w:pPr>
            <w:r w:rsidRPr="00D97458">
              <w:rPr>
                <w:lang w:val="hr-HR"/>
              </w:rPr>
              <w:t>Predlažemo da se parkirališta i garaže za bicikle mogu smjestiti i na površinama koje nisu GUP</w:t>
            </w:r>
            <w:r>
              <w:rPr>
                <w:lang w:val="hr-HR"/>
              </w:rPr>
              <w:t>-</w:t>
            </w:r>
            <w:r w:rsidRPr="00D97458">
              <w:rPr>
                <w:lang w:val="hr-HR"/>
              </w:rPr>
              <w:t>om označene za to.</w:t>
            </w:r>
          </w:p>
          <w:p w14:paraId="36A69B74" w14:textId="77777777" w:rsidR="00D97458" w:rsidRPr="00D97458" w:rsidRDefault="00D97458" w:rsidP="00D97458">
            <w:pPr>
              <w:spacing w:after="0"/>
              <w:jc w:val="both"/>
              <w:rPr>
                <w:lang w:val="hr-HR"/>
              </w:rPr>
            </w:pPr>
            <w:r w:rsidRPr="00D97458">
              <w:rPr>
                <w:lang w:val="hr-HR"/>
              </w:rPr>
              <w:t>Objašnjenje:</w:t>
            </w:r>
          </w:p>
          <w:p w14:paraId="462BE3AB" w14:textId="3B66F717" w:rsidR="00D97458" w:rsidRDefault="00D97458" w:rsidP="00D97458">
            <w:pPr>
              <w:jc w:val="both"/>
              <w:rPr>
                <w:lang w:val="hr-HR"/>
              </w:rPr>
            </w:pPr>
            <w:r w:rsidRPr="00D97458">
              <w:rPr>
                <w:lang w:val="hr-HR"/>
              </w:rPr>
              <w:t xml:space="preserve">Naše višestambene zgrade, kao i poslovni i javni subjekti nemaju odgovarajuće riješena parkirališna mjesta za bicikle, već se bicikli drže po stubištima, hodnicima, skučenim zajedničkim prostorima ili na otvorenom. Kada se kristalizira moguća lokacija unutar stambenih blokova, naselja, pogona.... potrebno je omogućiti da se parking ili biciklistička garaža može projektirati i graditi bez da je potrebno mijenjati prostorno-plansku </w:t>
            </w:r>
            <w:proofErr w:type="spellStart"/>
            <w:r w:rsidRPr="00D97458">
              <w:rPr>
                <w:lang w:val="hr-HR"/>
              </w:rPr>
              <w:t>dokumentaciju.Također</w:t>
            </w:r>
            <w:proofErr w:type="spellEnd"/>
            <w:r w:rsidRPr="00D97458">
              <w:rPr>
                <w:lang w:val="hr-HR"/>
              </w:rPr>
              <w:t xml:space="preserve"> predlažemo da se u GUP ugradi obaveza provedbe javnog arhitektonskog natječaja za projektiranje kvalitetnih tipskih biciklističkih parkinga i garaža na javnim površinama (različitih dimenzija), koji bi postali još jedan od prepoznatljivih simbola grada.</w:t>
            </w:r>
          </w:p>
        </w:tc>
      </w:tr>
      <w:tr w:rsidR="003B2DE8" w:rsidRPr="007514A7" w14:paraId="6429C685" w14:textId="77777777" w:rsidTr="003B2DE8">
        <w:trPr>
          <w:trHeight w:hRule="exact" w:val="15457"/>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574552D" w14:textId="77777777" w:rsidR="003B2DE8" w:rsidRPr="007514A7" w:rsidRDefault="003B2DE8">
            <w:pPr>
              <w:spacing w:before="3" w:after="0" w:line="120" w:lineRule="exact"/>
              <w:rPr>
                <w:sz w:val="12"/>
                <w:szCs w:val="12"/>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13157379" w14:textId="77777777" w:rsidR="003B2DE8" w:rsidRPr="003B2DE8" w:rsidRDefault="003B2DE8" w:rsidP="003B2DE8">
            <w:pPr>
              <w:spacing w:after="0"/>
              <w:jc w:val="both"/>
              <w:rPr>
                <w:b/>
                <w:bCs/>
                <w:lang w:val="hr-HR"/>
              </w:rPr>
            </w:pPr>
            <w:r w:rsidRPr="003B2DE8">
              <w:rPr>
                <w:b/>
                <w:bCs/>
                <w:lang w:val="hr-HR"/>
              </w:rPr>
              <w:t>Odgovor:</w:t>
            </w:r>
          </w:p>
          <w:p w14:paraId="38FBA859" w14:textId="77777777" w:rsidR="003B2DE8" w:rsidRPr="003B2DE8" w:rsidRDefault="003B2DE8" w:rsidP="003B2DE8">
            <w:pPr>
              <w:jc w:val="both"/>
              <w:rPr>
                <w:lang w:val="hr-HR"/>
              </w:rPr>
            </w:pPr>
            <w:bookmarkStart w:id="3" w:name="_Hlk101436108"/>
            <w:r w:rsidRPr="003B2DE8">
              <w:rPr>
                <w:lang w:val="hr-HR"/>
              </w:rPr>
              <w:t>Komentar je primljen na znanje. GUP je prostorni plan koji određuje razgraničenje namjena, propisuje uvjete provedbe pojedinih zahvata, a izrađuje se u mjerilu u kojem nije nužno planskom oznakom naznačiti parkirališta i garaže za bicikle, naročito ukoliko su manjeg kapaciteta. Parkirališta, garaže i spremišta za bicikle moguće je već sada graditi i uređivati temeljem odredbi za provedbu GUP-a, putem pojedinačnih projekata i uz posebne uvjete nadležnog javnopravnog tijela. Mogućnost/obveza provedbe urbanističko arhitektonskog natječaja nije predmet Smjernica, no moguće ju je razmotriti u postupku izrade IV. Izmjena i dopuna GUP-a.  Napominjemo kako je u Smjernicama za integraciju održivog energetskog planiranja i prilagodbe klimatskim promjenama (SECAP) u Generalni urbanistički plan (GUP) grada Karlovca, poglavlje 8., mjera 1 – Izvedba biciklističke infrastrukture (pa tako i parkirališta za bicikle te spremišta za pohranu bicikala koji spadaju u nju), jako afirmirana (</w:t>
            </w:r>
            <w:r w:rsidRPr="003B2DE8">
              <w:rPr>
                <w:i/>
                <w:iCs/>
                <w:lang w:val="hr-HR"/>
              </w:rPr>
              <w:t>“Izmjenama i dopunama GUP-a se omogućuje izvedba elemenata biciklističke infrastrukture u svim prometnim koridorima, na površinama svih namjena odnosno svih građevnih čestica</w:t>
            </w:r>
            <w:r w:rsidRPr="003B2DE8">
              <w:rPr>
                <w:lang w:val="hr-HR"/>
              </w:rPr>
              <w:t xml:space="preserve">”). </w:t>
            </w:r>
          </w:p>
          <w:bookmarkEnd w:id="3"/>
          <w:p w14:paraId="356D17A5" w14:textId="77777777" w:rsidR="003B2DE8" w:rsidRPr="003B2DE8" w:rsidRDefault="003B2DE8" w:rsidP="003B2DE8">
            <w:pPr>
              <w:spacing w:after="0"/>
              <w:jc w:val="both"/>
              <w:rPr>
                <w:lang w:val="hr-HR"/>
              </w:rPr>
            </w:pPr>
            <w:r w:rsidRPr="003B2DE8">
              <w:rPr>
                <w:b/>
                <w:bCs/>
                <w:lang w:val="hr-HR"/>
              </w:rPr>
              <w:t>Komentar 6.3.:</w:t>
            </w:r>
          </w:p>
          <w:p w14:paraId="3530D202" w14:textId="0FBE1F91" w:rsidR="003B2DE8" w:rsidRPr="003B2DE8" w:rsidRDefault="003B2DE8" w:rsidP="003B2DE8">
            <w:pPr>
              <w:jc w:val="both"/>
              <w:rPr>
                <w:lang w:val="hr-HR"/>
              </w:rPr>
            </w:pPr>
            <w:r w:rsidRPr="003B2DE8">
              <w:rPr>
                <w:lang w:val="hr-HR"/>
              </w:rPr>
              <w:t>Provedbenim odredbama GUP</w:t>
            </w:r>
            <w:r>
              <w:rPr>
                <w:lang w:val="hr-HR"/>
              </w:rPr>
              <w:t>-</w:t>
            </w:r>
            <w:r w:rsidRPr="003B2DE8">
              <w:rPr>
                <w:lang w:val="hr-HR"/>
              </w:rPr>
              <w:t>a poticati, ali i propisati investitorima izgradnju kvalitetnih bike garaža uz sve namjene, te smanjiti potreban broj obaveznih parkirališta za aute....odnosno uvesti plaćanje za nedostajuća parking mjesta za bicikle, kao što je moguće za nedostajuća parking mjesta za automobile. Prilikom određivanja potrebnog broja obaveznih parkirališnih ili garažnih mjesta za bicikle, potrebno se držati pravilnika, te iskustva drugih gradova i članica EU za namjene koje pravilnikom nisu navedene (stanovanje npr</w:t>
            </w:r>
            <w:r>
              <w:rPr>
                <w:lang w:val="hr-HR"/>
              </w:rPr>
              <w:t>.</w:t>
            </w:r>
            <w:r w:rsidRPr="003B2DE8">
              <w:rPr>
                <w:lang w:val="hr-HR"/>
              </w:rPr>
              <w:t>)</w:t>
            </w:r>
          </w:p>
          <w:p w14:paraId="2CF571FE" w14:textId="77777777" w:rsidR="003B2DE8" w:rsidRPr="003B2DE8" w:rsidRDefault="003B2DE8" w:rsidP="003B2DE8">
            <w:pPr>
              <w:spacing w:after="0"/>
              <w:jc w:val="both"/>
              <w:rPr>
                <w:lang w:val="hr-HR"/>
              </w:rPr>
            </w:pPr>
            <w:r w:rsidRPr="003B2DE8">
              <w:rPr>
                <w:lang w:val="hr-HR"/>
              </w:rPr>
              <w:t>Objašnjenje:</w:t>
            </w:r>
          </w:p>
          <w:p w14:paraId="5F22D9E4" w14:textId="77777777" w:rsidR="003B2DE8" w:rsidRPr="003B2DE8" w:rsidRDefault="003B2DE8" w:rsidP="003B2DE8">
            <w:pPr>
              <w:jc w:val="both"/>
              <w:rPr>
                <w:lang w:val="hr-HR"/>
              </w:rPr>
            </w:pPr>
            <w:r w:rsidRPr="003B2DE8">
              <w:rPr>
                <w:lang w:val="hr-HR"/>
              </w:rPr>
              <w:t>Građanstvo je potrebno poticati na manje korištenje automobila, te veće korištenje bicikala, javnog prijevoza i pješačenja, što nije samo mjera zaštite okoliša, već i zdravstvena i socijalna mjera. Velikim brojem osiguranih parkirališnih mjesta za automobile ne potiče se održiva mobilnost, što je potrebno mijenjati, između ostalog i planskim odredbama GUP-a.</w:t>
            </w:r>
          </w:p>
          <w:p w14:paraId="570DD7A5" w14:textId="77777777" w:rsidR="003B2DE8" w:rsidRPr="003B2DE8" w:rsidRDefault="003B2DE8" w:rsidP="003B2DE8">
            <w:pPr>
              <w:spacing w:after="0"/>
              <w:jc w:val="both"/>
              <w:rPr>
                <w:lang w:val="hr-HR"/>
              </w:rPr>
            </w:pPr>
            <w:r w:rsidRPr="003B2DE8">
              <w:rPr>
                <w:b/>
                <w:bCs/>
                <w:lang w:val="hr-HR"/>
              </w:rPr>
              <w:t>Odgovor:</w:t>
            </w:r>
          </w:p>
          <w:p w14:paraId="0AF495F6" w14:textId="5E8DF6E4" w:rsidR="003B2DE8" w:rsidRDefault="003B2DE8" w:rsidP="003B2DE8">
            <w:pPr>
              <w:jc w:val="both"/>
              <w:rPr>
                <w:lang w:val="hr-HR"/>
              </w:rPr>
            </w:pPr>
            <w:r w:rsidRPr="003B2DE8">
              <w:rPr>
                <w:lang w:val="hr-HR"/>
              </w:rPr>
              <w:t>Komentar je primljen na znanje te će se razmotriti detaljnije u procesu izrade IV. Izmjena i dopuna  GUP-a, uz napomenu da mehanizmi poticanja nisu  predmet razrade prostornih planova. Izgradnja bike garaža moguća je već sada temeljem odredbi GUP-a izradom odgovarajuće projektne dokumentacije u skladu s posebnim uvjetima javnopravnog tijela nadležnog za promet. Napominjemo kako je u Smjernicama za integraciju održivog energetskog planiranja i prilagodbe klimatskim promjenama (SECAP) u Generalni urbanistički plan (GUP) grada Karlovca</w:t>
            </w:r>
            <w:r>
              <w:rPr>
                <w:lang w:val="hr-HR"/>
              </w:rPr>
              <w:t>,</w:t>
            </w:r>
          </w:p>
        </w:tc>
      </w:tr>
      <w:tr w:rsidR="003B2DE8" w:rsidRPr="007514A7" w14:paraId="1D229F01" w14:textId="77777777" w:rsidTr="003B2DE8">
        <w:trPr>
          <w:trHeight w:hRule="exact" w:val="4543"/>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59406B0" w14:textId="77777777" w:rsidR="003B2DE8" w:rsidRPr="007514A7" w:rsidRDefault="003B2DE8">
            <w:pPr>
              <w:spacing w:before="3" w:after="0" w:line="120" w:lineRule="exact"/>
              <w:rPr>
                <w:sz w:val="12"/>
                <w:szCs w:val="12"/>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31CFFD4B" w14:textId="77777777" w:rsidR="003B2DE8" w:rsidRDefault="003B2DE8" w:rsidP="00D97458">
            <w:pPr>
              <w:jc w:val="both"/>
              <w:rPr>
                <w:lang w:val="hr-HR"/>
              </w:rPr>
            </w:pPr>
            <w:r w:rsidRPr="003B2DE8">
              <w:rPr>
                <w:lang w:val="hr-HR"/>
              </w:rPr>
              <w:t>poglavlje 8., mjera 1 – Izvedba biciklističke infrastrukture i korištenje takvog načina kretanja jako afirmirano.</w:t>
            </w:r>
          </w:p>
          <w:p w14:paraId="1334FC1E" w14:textId="77777777" w:rsidR="003B2DE8" w:rsidRPr="003B2DE8" w:rsidRDefault="003B2DE8" w:rsidP="003B2DE8">
            <w:pPr>
              <w:spacing w:after="0"/>
              <w:jc w:val="both"/>
              <w:rPr>
                <w:b/>
                <w:bCs/>
                <w:lang w:val="hr-HR"/>
              </w:rPr>
            </w:pPr>
            <w:r w:rsidRPr="003B2DE8">
              <w:rPr>
                <w:b/>
                <w:bCs/>
                <w:lang w:val="hr-HR"/>
              </w:rPr>
              <w:t>Komentar 6.4.:</w:t>
            </w:r>
          </w:p>
          <w:p w14:paraId="72B8C484" w14:textId="77777777" w:rsidR="003B2DE8" w:rsidRPr="003B2DE8" w:rsidRDefault="003B2DE8" w:rsidP="003B2DE8">
            <w:pPr>
              <w:jc w:val="both"/>
              <w:rPr>
                <w:lang w:val="hr-HR"/>
              </w:rPr>
            </w:pPr>
            <w:r w:rsidRPr="003B2DE8">
              <w:rPr>
                <w:lang w:val="hr-HR"/>
              </w:rPr>
              <w:t>Uvesti olakšice za sve koji ne koriste automobil ili ga koriste rijetko.</w:t>
            </w:r>
          </w:p>
          <w:p w14:paraId="3557EFF1" w14:textId="77777777" w:rsidR="003B2DE8" w:rsidRPr="003B2DE8" w:rsidRDefault="003B2DE8" w:rsidP="003B2DE8">
            <w:pPr>
              <w:spacing w:after="0"/>
              <w:jc w:val="both"/>
              <w:rPr>
                <w:lang w:val="hr-HR"/>
              </w:rPr>
            </w:pPr>
            <w:r w:rsidRPr="003B2DE8">
              <w:rPr>
                <w:lang w:val="hr-HR"/>
              </w:rPr>
              <w:t>Objašnjenje:</w:t>
            </w:r>
          </w:p>
          <w:p w14:paraId="099CD149" w14:textId="77777777" w:rsidR="003B2DE8" w:rsidRPr="003B2DE8" w:rsidRDefault="003B2DE8" w:rsidP="003B2DE8">
            <w:pPr>
              <w:jc w:val="both"/>
              <w:rPr>
                <w:lang w:val="hr-HR"/>
              </w:rPr>
            </w:pPr>
            <w:r w:rsidRPr="003B2DE8">
              <w:rPr>
                <w:lang w:val="hr-HR"/>
              </w:rPr>
              <w:t>Kao što je planirano uvođenje olakšica za vlasnike električnih vozila, smatramo da je potrebno pronaći model olakšica za sve koji koriste javni gradski prijevoz, bicikl ili pješače.</w:t>
            </w:r>
          </w:p>
          <w:p w14:paraId="6015A41A" w14:textId="77777777" w:rsidR="003B2DE8" w:rsidRPr="003B2DE8" w:rsidRDefault="003B2DE8" w:rsidP="003B2DE8">
            <w:pPr>
              <w:spacing w:after="0"/>
              <w:jc w:val="both"/>
              <w:rPr>
                <w:b/>
                <w:bCs/>
                <w:lang w:val="hr-HR"/>
              </w:rPr>
            </w:pPr>
            <w:r w:rsidRPr="003B2DE8">
              <w:rPr>
                <w:b/>
                <w:bCs/>
                <w:lang w:val="hr-HR"/>
              </w:rPr>
              <w:t>Odgovor:</w:t>
            </w:r>
          </w:p>
          <w:p w14:paraId="39455755" w14:textId="77777777" w:rsidR="003B2DE8" w:rsidRPr="003B2DE8" w:rsidRDefault="003B2DE8" w:rsidP="003B2DE8">
            <w:pPr>
              <w:jc w:val="both"/>
              <w:rPr>
                <w:lang w:val="hr-HR"/>
              </w:rPr>
            </w:pPr>
            <w:r w:rsidRPr="003B2DE8">
              <w:rPr>
                <w:lang w:val="hr-HR"/>
              </w:rPr>
              <w:t>Navedeni mehanizmi poticanja nisu predmet razrade prostornih planova pa tako niti ovih Smjernica.</w:t>
            </w:r>
          </w:p>
          <w:p w14:paraId="0AD15E7D" w14:textId="347CC64B" w:rsidR="003B2DE8" w:rsidRDefault="003B2DE8" w:rsidP="00D97458">
            <w:pPr>
              <w:jc w:val="both"/>
              <w:rPr>
                <w:lang w:val="hr-HR"/>
              </w:rPr>
            </w:pPr>
          </w:p>
        </w:tc>
      </w:tr>
      <w:tr w:rsidR="001D7128" w:rsidRPr="007514A7" w14:paraId="04701236"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5E82215F" w14:textId="77777777" w:rsidR="001D7128" w:rsidRPr="007514A7" w:rsidRDefault="001D7128">
            <w:pPr>
              <w:spacing w:before="3" w:after="0" w:line="120" w:lineRule="exact"/>
              <w:rPr>
                <w:sz w:val="12"/>
                <w:szCs w:val="12"/>
                <w:lang w:val="hr-HR"/>
              </w:rPr>
            </w:pPr>
          </w:p>
          <w:p w14:paraId="41472AE1"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10"/>
                <w:lang w:val="hr-HR"/>
              </w:rPr>
              <w:t>T</w:t>
            </w:r>
            <w:r w:rsidRPr="007514A7">
              <w:rPr>
                <w:rFonts w:eastAsia="Myriad Pro" w:cs="Myriad Pro"/>
                <w:color w:val="231F20"/>
                <w:spacing w:val="-2"/>
                <w:lang w:val="hr-HR"/>
              </w:rPr>
              <w:t>r</w:t>
            </w:r>
            <w:r w:rsidRPr="007514A7">
              <w:rPr>
                <w:rFonts w:eastAsia="Myriad Pro" w:cs="Myriad Pro"/>
                <w:color w:val="231F20"/>
                <w:lang w:val="hr-HR"/>
              </w:rPr>
              <w:t>ošk</w:t>
            </w:r>
            <w:r w:rsidRPr="007514A7">
              <w:rPr>
                <w:rFonts w:eastAsia="Myriad Pro" w:cs="Myriad Pro"/>
                <w:color w:val="231F20"/>
                <w:spacing w:val="-2"/>
                <w:lang w:val="hr-HR"/>
              </w:rPr>
              <w:t>o</w:t>
            </w:r>
            <w:r w:rsidRPr="007514A7">
              <w:rPr>
                <w:rFonts w:eastAsia="Myriad Pro" w:cs="Myriad Pro"/>
                <w:color w:val="231F20"/>
                <w:lang w:val="hr-HR"/>
              </w:rPr>
              <w:t>vi p</w:t>
            </w:r>
            <w:r w:rsidRPr="007514A7">
              <w:rPr>
                <w:rFonts w:eastAsia="Myriad Pro" w:cs="Myriad Pro"/>
                <w:color w:val="231F20"/>
                <w:spacing w:val="-2"/>
                <w:lang w:val="hr-HR"/>
              </w:rPr>
              <w:t>rov</w:t>
            </w:r>
            <w:r w:rsidRPr="007514A7">
              <w:rPr>
                <w:rFonts w:eastAsia="Myriad Pro" w:cs="Myriad Pro"/>
                <w:color w:val="231F20"/>
                <w:lang w:val="hr-HR"/>
              </w:rPr>
              <w:t>edenog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6244CCC2" w14:textId="310B77EE" w:rsidR="001D7128" w:rsidRPr="007514A7" w:rsidRDefault="000B4163" w:rsidP="00D97458">
            <w:pPr>
              <w:jc w:val="both"/>
              <w:rPr>
                <w:lang w:val="hr-HR"/>
              </w:rPr>
            </w:pPr>
            <w:r>
              <w:rPr>
                <w:lang w:val="hr-HR"/>
              </w:rPr>
              <w:t>Nema</w:t>
            </w:r>
          </w:p>
        </w:tc>
      </w:tr>
    </w:tbl>
    <w:p w14:paraId="5A774C06" w14:textId="77777777" w:rsidR="00B13212" w:rsidRPr="007514A7" w:rsidRDefault="00B13212" w:rsidP="00266AF9">
      <w:pPr>
        <w:rPr>
          <w:lang w:val="hr-HR"/>
        </w:rPr>
      </w:pPr>
    </w:p>
    <w:sectPr w:rsidR="00B13212" w:rsidRPr="007514A7" w:rsidSect="00CA42D6">
      <w:footerReference w:type="default" r:id="rId15"/>
      <w:pgSz w:w="11900" w:h="16840"/>
      <w:pgMar w:top="284" w:right="1280" w:bottom="84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EEB4" w14:textId="77777777" w:rsidR="00A8379A" w:rsidRDefault="00A8379A" w:rsidP="001D7128">
      <w:pPr>
        <w:spacing w:after="0" w:line="240" w:lineRule="auto"/>
      </w:pPr>
      <w:r>
        <w:separator/>
      </w:r>
    </w:p>
  </w:endnote>
  <w:endnote w:type="continuationSeparator" w:id="0">
    <w:p w14:paraId="51367695" w14:textId="77777777" w:rsidR="00A8379A" w:rsidRDefault="00A8379A"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7BE0" w14:textId="77777777" w:rsidR="001D7128" w:rsidRDefault="00C37605">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04B42CDC" wp14:editId="0F29ACDF">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9C49"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42CDC"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4CD99C49"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1CE4" w14:textId="77777777" w:rsidR="00A8379A" w:rsidRDefault="00A8379A" w:rsidP="001D7128">
      <w:pPr>
        <w:spacing w:after="0" w:line="240" w:lineRule="auto"/>
      </w:pPr>
      <w:r>
        <w:separator/>
      </w:r>
    </w:p>
  </w:footnote>
  <w:footnote w:type="continuationSeparator" w:id="0">
    <w:p w14:paraId="558A5E3A" w14:textId="77777777" w:rsidR="00A8379A" w:rsidRDefault="00A8379A"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474F"/>
    <w:multiLevelType w:val="hybridMultilevel"/>
    <w:tmpl w:val="EEC0C804"/>
    <w:lvl w:ilvl="0" w:tplc="DFA8B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9301D2E"/>
    <w:multiLevelType w:val="hybridMultilevel"/>
    <w:tmpl w:val="15D02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568514">
    <w:abstractNumId w:val="1"/>
  </w:num>
  <w:num w:numId="2" w16cid:durableId="57162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33302"/>
    <w:rsid w:val="0004675E"/>
    <w:rsid w:val="00075BBA"/>
    <w:rsid w:val="000809A2"/>
    <w:rsid w:val="000B4163"/>
    <w:rsid w:val="001B64D1"/>
    <w:rsid w:val="001D7128"/>
    <w:rsid w:val="00266AF9"/>
    <w:rsid w:val="002D16D4"/>
    <w:rsid w:val="00323A8C"/>
    <w:rsid w:val="00326F19"/>
    <w:rsid w:val="00341285"/>
    <w:rsid w:val="003B2DE8"/>
    <w:rsid w:val="00451926"/>
    <w:rsid w:val="00453E6A"/>
    <w:rsid w:val="00493F97"/>
    <w:rsid w:val="004E639D"/>
    <w:rsid w:val="004F1024"/>
    <w:rsid w:val="00516F96"/>
    <w:rsid w:val="00517EB5"/>
    <w:rsid w:val="005D6AEE"/>
    <w:rsid w:val="005D72F3"/>
    <w:rsid w:val="006A046B"/>
    <w:rsid w:val="00717A07"/>
    <w:rsid w:val="007514A7"/>
    <w:rsid w:val="00766883"/>
    <w:rsid w:val="00867931"/>
    <w:rsid w:val="009B10C9"/>
    <w:rsid w:val="009D330A"/>
    <w:rsid w:val="009F0267"/>
    <w:rsid w:val="00A63EF9"/>
    <w:rsid w:val="00A8379A"/>
    <w:rsid w:val="00AC34D5"/>
    <w:rsid w:val="00B0291E"/>
    <w:rsid w:val="00B13212"/>
    <w:rsid w:val="00B2685E"/>
    <w:rsid w:val="00B33DE8"/>
    <w:rsid w:val="00C37605"/>
    <w:rsid w:val="00CA2793"/>
    <w:rsid w:val="00CA42D6"/>
    <w:rsid w:val="00D13138"/>
    <w:rsid w:val="00D2378F"/>
    <w:rsid w:val="00D83087"/>
    <w:rsid w:val="00D97458"/>
    <w:rsid w:val="00F65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EA9B"/>
  <w15:docId w15:val="{C2356498-0A71-42A8-BEAB-6BB0BB72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 w:type="paragraph" w:styleId="Odlomakpopisa">
    <w:name w:val="List Paragraph"/>
    <w:basedOn w:val="Normal"/>
    <w:uiPriority w:val="34"/>
    <w:qFormat/>
    <w:rsid w:val="002D16D4"/>
    <w:pPr>
      <w:ind w:left="720"/>
      <w:contextualSpacing/>
    </w:pPr>
  </w:style>
  <w:style w:type="character" w:styleId="Hiperveza">
    <w:name w:val="Hyperlink"/>
    <w:basedOn w:val="Zadanifontodlomka"/>
    <w:uiPriority w:val="99"/>
    <w:unhideWhenUsed/>
    <w:rsid w:val="00493F97"/>
    <w:rPr>
      <w:color w:val="0000FF" w:themeColor="hyperlink"/>
      <w:u w:val="single"/>
    </w:rPr>
  </w:style>
  <w:style w:type="character" w:styleId="Nerijeenospominjanje">
    <w:name w:val="Unresolved Mention"/>
    <w:basedOn w:val="Zadanifontodlomka"/>
    <w:uiPriority w:val="99"/>
    <w:semiHidden/>
    <w:unhideWhenUsed/>
    <w:rsid w:val="0049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pravilnik-o-izmjenama-i-dopunama-pravilnika-o-sadrzaju-mjerilima-kartografskih-prikaza-obveznim-prostornim-pokazateljima-i-standardu-elaborata-prostornih-planova" TargetMode="External"/><Relationship Id="rId13" Type="http://schemas.openxmlformats.org/officeDocument/2006/relationships/hyperlink" Target="https://www.iusinfo.hr/zakonodavstvo/pravilnik-o-sadrzaju-mjerilima-kartografskih-prikaza-obveznim-prostornim-pokazateljima-standardu-elaborata-i-obveznih-priloga-prostornih-planova" TargetMode="External"/><Relationship Id="rId3" Type="http://schemas.openxmlformats.org/officeDocument/2006/relationships/settings" Target="settings.xml"/><Relationship Id="rId7" Type="http://schemas.openxmlformats.org/officeDocument/2006/relationships/hyperlink" Target="https://www.iusinfo.hr/zakonodavstvo/pravilnik-o-sadrzaju-mjerilima-kartografskih-prikaza-obveznim-prostornim-pokazateljima-i-standardu-elaborata-prostornih-planova" TargetMode="External"/><Relationship Id="rId12" Type="http://schemas.openxmlformats.org/officeDocument/2006/relationships/hyperlink" Target="https://www.iusinfo.hr/zakonodavstvo/pravilnik-o-opcinama-koje-mogu-donijeti-prostorni-plan-uredenja-opcine-smanjenog-sadrzaja-i-sadrzaju-mjerilima-kartografskih-prikaza-i-obveznim-prilozima-toga-pla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info.hr/zakonodavstvo/zakon-o-prostornom-uredenju-i-gradnji-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usinfo.hr/zakonodavstvo/pravilnik-o-dopunama-pravilnika-o-sadrzaju-mjerilima-kartografskih-prikaza-obveznim-prostornim-pokazateljima-i-standardu-elaborata-prostornih-planova" TargetMode="External"/><Relationship Id="rId4" Type="http://schemas.openxmlformats.org/officeDocument/2006/relationships/webSettings" Target="webSettings.xml"/><Relationship Id="rId9" Type="http://schemas.openxmlformats.org/officeDocument/2006/relationships/hyperlink" Target="https://www.iusinfo.hr/zakonodavstvo/ispravak-pravilnika-o-izmjenama-i-dopunama-pravilnika-o-sadrzaju-mjerilima-kartografskih-prikaza-obveznim-prostornim-pokazateljima-i-standardu-elaborata-prostornih-planova" TargetMode="External"/><Relationship Id="rId14" Type="http://schemas.openxmlformats.org/officeDocument/2006/relationships/hyperlink" Target="https://www.iusinfo.hr/zakonodavstvo/zakon-o-prostornom-uredenju-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2221</Words>
  <Characters>12666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Smjernica_kb_2.indd</vt:lpstr>
    </vt:vector>
  </TitlesOfParts>
  <Company>HP</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Irena Kajfeš</cp:lastModifiedBy>
  <cp:revision>4</cp:revision>
  <cp:lastPrinted>2016-11-25T07:52:00Z</cp:lastPrinted>
  <dcterms:created xsi:type="dcterms:W3CDTF">2022-03-08T11:47:00Z</dcterms:created>
  <dcterms:modified xsi:type="dcterms:W3CDTF">2022-05-20T11:43:00Z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